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60"/>
        <w:gridCol w:w="1360"/>
        <w:gridCol w:w="1400"/>
        <w:gridCol w:w="2500"/>
        <w:gridCol w:w="7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RANGE!A1:F2"/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  <w:bookmarkEnd w:id="0"/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建设地点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建设单位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环境影响评价机构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建设项目概况</w:t>
            </w:r>
          </w:p>
        </w:tc>
        <w:tc>
          <w:tcPr>
            <w:tcW w:w="7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主要环境影响及预防或减轻不良环境影响的对策和措施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1.南阳茗仁艾业有限公司年加工艾草1000吨建设项目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南阳市唐河县马振抚镇简庄村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南阳茗仁艾业有限公司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河北安怀环保科技有限公司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南阳茗仁艾业有限公司拟投资500万元于南阳市唐河县马振抚镇简庄村租赁土地8.6亩加工艾草1000吨建设项目，以艾草为主要原材料，购置粉碎筛选机、切条机、卷条机等主要生产设备，建设1条艾绒制品生产线。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zh-CN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大气环境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本项目营运期废气主要为艾草粉碎、艾绒提取工序产生的粉尘、卷条切割过程产生的粉尘以及艾草异味。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粉碎提绒工序粉尘经集气罩收集后通过管道集中收集至1套袋式除尘器（1#）处理后经1根15m高排气筒P1引至高空排放；卷条工序粉尘经集气罩收集后通过管道集中收集至1套袋式除尘器（2#）处理后经1根15m高排气筒P2引至高空排放，经处理后各工序粉尘排放浓度及排放速率均可以满足《大气污染物综合排放标准》（GB16297-1996）表2“颗粒物最高允许排放浓度120mg/m3、最高允许排放速率3.5kg/h（排气筒高度15m）”的限值标准要求，预计对周围环境影响不大。 对于制绒及卷条车间无组织排放粉尘，评价建议制绒车间及卷条车间四面密闭，通道口安装卷帘门、推拉门等封闭性良好且便于开关的硬质门；厂房内各功能分区明确，减少不必要的物料周转，车间地面定期清扫；加强环保设备维护，保证废气集气效率；厂区加强管理。项目在营运过程中由于艾叶具有特殊气味而使得厂区散发艾草异味。根据建设单位提供的信息，随着艾条制作工序，艾草味也会逐渐减低，项目车间青草异味采取车间安装排风扇，加强车间通风，且艾香具有消毒灭菌等功效，因此不会对周边大气环境产生不良影响。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2、水环境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本项目营运期无生产废水，废水主要为职工生活污水。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项目职工生活污水产生量为0.8m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d，废水中主要污染物及浓度分别为COD350mg/L、SS280mg/L、NH3-N30mg/L，产生量分别为0.42kg/d、0.336kg/d、0.036kg/d项目生活污水产生量较小，污染因素简单，评价建议职工生活污水经厂区化粪池（容积3m3，三防措施）处理后用于周围农田施肥，资源化利用不外排，预计不会对周围地表水环境产生不良影响。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3、声环境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本项目营运期噪声主要是粉碎筛选机、切条机、卷条机等设备运行时产生的噪声，噪声源强在70~90dB（A）之间；经过减振降噪、距离衰减后，项目生产噪声对四周厂界的昼间噪声贡献值均可满足《工业企业厂界环境噪声排放标准》（GB12348-2008）中2类标准要求。因此，项目正常运行期间，对周围环境影响在可接受范围内。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4、固体废物                                            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本项目营运期固体废物主要为废包装材料、除尘器收集粉尘、职工生活垃圾及化粪池污泥。职工生活垃圾集中收集后交由环卫部门运至垃圾填埋场处理；化粪池污泥定期清掏后用于周围农田施肥；废包装材料集中收集后外售给废品回收站；除尘器收集粉尘集中收集后同艾粉一起外售。 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u w:val="none"/>
                <w:lang w:val="en-US" w:eastAsia="zh-CN"/>
              </w:rPr>
              <w:t>2.唐河县鸿胜木业年加工1000方木材建设项目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u w:val="none"/>
                <w:lang w:val="en-US" w:eastAsia="zh-CN"/>
              </w:rPr>
              <w:t>南阳市唐河县龙潭镇王太</w:t>
            </w:r>
            <w:bookmarkStart w:id="1" w:name="_GoBack"/>
            <w:bookmarkEnd w:id="1"/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u w:val="none"/>
                <w:lang w:val="en-US" w:eastAsia="zh-CN"/>
              </w:rPr>
              <w:t>山村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u w:val="none"/>
                <w:lang w:val="en-US" w:eastAsia="zh-CN"/>
              </w:rPr>
              <w:t>唐河县鸿胜木业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广东德泰环保科技有限公司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微软雅黑" w:cs="Times New Roman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u w:val="none"/>
                <w:lang w:eastAsia="zh-CN"/>
              </w:rPr>
              <w:t>项目总投资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u w:val="none"/>
                <w:lang w:val="en-US" w:eastAsia="zh-CN"/>
              </w:rPr>
              <w:t>20万元，</w:t>
            </w:r>
            <w:r>
              <w:rPr>
                <w:bCs/>
                <w:sz w:val="21"/>
                <w:szCs w:val="21"/>
                <w:u w:val="none"/>
              </w:rPr>
              <w:t>项目</w:t>
            </w:r>
            <w:r>
              <w:rPr>
                <w:rFonts w:hint="eastAsia"/>
                <w:bCs/>
                <w:sz w:val="21"/>
                <w:szCs w:val="21"/>
                <w:u w:val="none"/>
              </w:rPr>
              <w:t>建成后，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u w:val="none"/>
                <w:lang w:val="en-US" w:eastAsia="zh-CN"/>
              </w:rPr>
              <w:t>加工1000方木材</w:t>
            </w:r>
          </w:p>
        </w:tc>
        <w:tc>
          <w:tcPr>
            <w:tcW w:w="7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（1）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大气环境：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1.有组织粉尘废气：木材加工过程中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eastAsia="zh-CN"/>
              </w:rPr>
              <w:t>会有粉尘废气产生，粉尘废气经集气罩收集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+袋式除尘器处理，处理后由15m排气筒排放。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粉尘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eastAsia="zh-CN"/>
              </w:rPr>
              <w:t>废气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排放浓度为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3.95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mg/m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排放速率为0.0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079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kg/h。满足《大气污染物综合排放标准》（GB16297-1996）表2二级标准要求。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2.无组织粉尘废气：无组织粉尘的产生量约为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02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t/a，排放速率为0.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09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kg/h。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eastAsia="zh-CN"/>
              </w:rPr>
              <w:t>现车间安装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2台排风扇，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 xml:space="preserve">保持车间通风，粉尘满足周界外浓度《大气污染物综合排放标准》（GB16297-1996）表2中无组织排放监控浓度限值要求。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1"/>
                <w:szCs w:val="21"/>
                <w:u w:val="none"/>
                <w:lang w:val="en-US" w:eastAsia="zh-CN"/>
              </w:rPr>
              <w:t>（2）水环境：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textAlignment w:val="auto"/>
              <w:rPr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</w:rPr>
              <w:t>该项目废水主要为职工的生活污水。生活污水产生量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115.2</w:t>
            </w:r>
            <w:r>
              <w:rPr>
                <w:rFonts w:ascii="Times New Roman" w:hAnsi="Times New Roman" w:cs="Times New Roman"/>
                <w:sz w:val="21"/>
                <w:szCs w:val="21"/>
                <w:u w:val="none"/>
              </w:rPr>
              <w:t>m</w:t>
            </w:r>
            <w:r>
              <w:rPr>
                <w:rFonts w:ascii="Times New Roman" w:hAnsi="Times New Roman" w:cs="Times New Roman"/>
                <w:sz w:val="21"/>
                <w:szCs w:val="21"/>
                <w:u w:val="non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u w:val="none"/>
              </w:rPr>
              <w:t>/a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</w:rPr>
              <w:t>。</w:t>
            </w:r>
            <w:r>
              <w:rPr>
                <w:sz w:val="21"/>
                <w:szCs w:val="21"/>
                <w:u w:val="none"/>
              </w:rPr>
              <w:t>项目生活污水经化粪池</w:t>
            </w: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化粪池容积为2m</w:t>
            </w:r>
            <w:r>
              <w:rPr>
                <w:rFonts w:hint="eastAsia"/>
                <w:sz w:val="21"/>
                <w:szCs w:val="21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，本项目新建</w:t>
            </w: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sz w:val="21"/>
                <w:szCs w:val="21"/>
                <w:u w:val="none"/>
              </w:rPr>
              <w:t>处理后用于</w:t>
            </w: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周边农田施肥</w:t>
            </w:r>
            <w:r>
              <w:rPr>
                <w:rFonts w:hint="eastAsia"/>
                <w:sz w:val="21"/>
                <w:szCs w:val="21"/>
                <w:u w:val="none"/>
              </w:rPr>
              <w:t>，</w:t>
            </w:r>
            <w:r>
              <w:rPr>
                <w:sz w:val="21"/>
                <w:szCs w:val="21"/>
                <w:u w:val="none"/>
              </w:rPr>
              <w:t>不外排</w:t>
            </w:r>
            <w:r>
              <w:rPr>
                <w:rFonts w:hint="eastAsia"/>
                <w:sz w:val="21"/>
                <w:szCs w:val="21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none"/>
                <w:lang w:val="en-US" w:eastAsia="zh-CN"/>
              </w:rPr>
              <w:t>（3）</w:t>
            </w:r>
            <w:r>
              <w:rPr>
                <w:rFonts w:hint="default" w:ascii="宋体" w:hAnsi="宋体" w:eastAsia="宋体" w:cs="宋体"/>
                <w:bCs/>
                <w:sz w:val="21"/>
                <w:szCs w:val="21"/>
                <w:u w:val="none"/>
                <w:lang w:val="en-US" w:eastAsia="zh-CN"/>
              </w:rPr>
              <w:t>声环境：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本项目噪声主要来自于设备运行，采取设备安装减振基础、厂房隔声等措施后，项目各厂界噪声均能够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达标排放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，对周围的声环境影响不大。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1"/>
                <w:szCs w:val="21"/>
                <w:u w:val="none"/>
                <w:lang w:val="en-US" w:eastAsia="zh-CN"/>
              </w:rPr>
              <w:t>（4）固体废物：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项目运营期的固体废弃物主要为生产过程中产生的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废木材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废木材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主要包括木屑、木皮、木芯、小木头、废木板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等，废木材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经收集后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eastAsia="zh-CN"/>
              </w:rPr>
              <w:t>外售；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除尘器收集的粉尘经收集后外售。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none"/>
                <w:lang w:val="en-US" w:eastAsia="zh-CN"/>
              </w:rPr>
              <w:t>职工生活垃圾和化粪池污泥经收集后送至垃圾中转站，交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  <w:t>由环卫部门统一处理。</w:t>
            </w:r>
          </w:p>
        </w:tc>
      </w:tr>
    </w:tbl>
    <w:p>
      <w:pPr>
        <w:spacing w:line="220" w:lineRule="atLeast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6838" w:h="11906" w:orient="landscape"/>
      <w:pgMar w:top="1797" w:right="851" w:bottom="1797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E711F"/>
    <w:rsid w:val="00323B43"/>
    <w:rsid w:val="003D37D8"/>
    <w:rsid w:val="00426133"/>
    <w:rsid w:val="004358AB"/>
    <w:rsid w:val="008B7726"/>
    <w:rsid w:val="00D31D50"/>
    <w:rsid w:val="00F961CA"/>
    <w:rsid w:val="099A4C5A"/>
    <w:rsid w:val="191835BF"/>
    <w:rsid w:val="19FC154B"/>
    <w:rsid w:val="1C6B510B"/>
    <w:rsid w:val="2E3E4B53"/>
    <w:rsid w:val="32436A4B"/>
    <w:rsid w:val="55D26588"/>
    <w:rsid w:val="595D4B6E"/>
    <w:rsid w:val="59A31E12"/>
    <w:rsid w:val="6B452E5E"/>
    <w:rsid w:val="71D43A1A"/>
    <w:rsid w:val="7292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  <w:style w:type="paragraph" w:styleId="3">
    <w:name w:val="Block Text"/>
    <w:basedOn w:val="1"/>
    <w:unhideWhenUsed/>
    <w:qFormat/>
    <w:uiPriority w:val="99"/>
    <w:pPr>
      <w:autoSpaceDE w:val="0"/>
      <w:autoSpaceDN w:val="0"/>
      <w:adjustRightInd w:val="0"/>
      <w:spacing w:before="1" w:line="537" w:lineRule="exact"/>
      <w:ind w:left="88" w:right="6"/>
    </w:pPr>
    <w:rPr>
      <w:kern w:val="0"/>
      <w:sz w:val="28"/>
      <w:szCs w:val="20"/>
    </w:rPr>
  </w:style>
  <w:style w:type="paragraph" w:styleId="4">
    <w:name w:val="Body Text Indent 3"/>
    <w:basedOn w:val="1"/>
    <w:uiPriority w:val="0"/>
    <w:pPr>
      <w:ind w:left="840" w:leftChars="400"/>
    </w:pPr>
    <w:rPr>
      <w:rFonts w:ascii="宋体" w:hAnsi="宋体"/>
      <w:sz w:val="28"/>
    </w:rPr>
  </w:style>
  <w:style w:type="paragraph" w:styleId="5">
    <w:name w:val="Body Text 2"/>
    <w:basedOn w:val="1"/>
    <w:unhideWhenUsed/>
    <w:qFormat/>
    <w:uiPriority w:val="99"/>
    <w:pPr>
      <w:spacing w:after="120" w:afterLines="0" w:line="480" w:lineRule="auto"/>
    </w:pPr>
    <w:rPr>
      <w:rFonts w:ascii="Calibri" w:hAnsi="Calibri"/>
      <w:kern w:val="0"/>
      <w:sz w:val="20"/>
      <w:szCs w:val="20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713</Characters>
  <Lines>5</Lines>
  <Paragraphs>1</Paragraphs>
  <TotalTime>0</TotalTime>
  <ScaleCrop>false</ScaleCrop>
  <LinksUpToDate>false</LinksUpToDate>
  <CharactersWithSpaces>837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淼淼宝贝</cp:lastModifiedBy>
  <dcterms:modified xsi:type="dcterms:W3CDTF">2020-07-21T03:28:14Z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