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940" w:type="dxa"/>
        <w:jc w:val="center"/>
        <w:tblLayout w:type="autofit"/>
        <w:tblCellMar>
          <w:top w:w="0" w:type="dxa"/>
          <w:left w:w="108" w:type="dxa"/>
          <w:bottom w:w="0" w:type="dxa"/>
          <w:right w:w="108" w:type="dxa"/>
        </w:tblCellMar>
      </w:tblPr>
      <w:tblGrid>
        <w:gridCol w:w="1720"/>
        <w:gridCol w:w="1360"/>
        <w:gridCol w:w="1360"/>
        <w:gridCol w:w="1400"/>
        <w:gridCol w:w="2500"/>
        <w:gridCol w:w="7600"/>
      </w:tblGrid>
      <w:tr>
        <w:tblPrEx>
          <w:tblCellMar>
            <w:top w:w="0" w:type="dxa"/>
            <w:left w:w="108" w:type="dxa"/>
            <w:bottom w:w="0" w:type="dxa"/>
            <w:right w:w="108" w:type="dxa"/>
          </w:tblCellMar>
        </w:tblPrEx>
        <w:trPr>
          <w:trHeight w:val="75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z w:val="24"/>
                <w:szCs w:val="24"/>
              </w:rPr>
            </w:pPr>
            <w:bookmarkStart w:id="0" w:name="RANGE!A1:F2"/>
            <w:r>
              <w:rPr>
                <w:rFonts w:hint="eastAsia" w:ascii="宋体" w:hAnsi="宋体" w:eastAsia="宋体" w:cs="宋体"/>
                <w:b/>
                <w:bCs/>
                <w:sz w:val="24"/>
                <w:szCs w:val="24"/>
              </w:rPr>
              <w:t>项目名称</w:t>
            </w:r>
            <w:bookmarkEnd w:id="0"/>
          </w:p>
        </w:tc>
        <w:tc>
          <w:tcPr>
            <w:tcW w:w="13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建设地点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建设单位</w:t>
            </w:r>
          </w:p>
        </w:tc>
        <w:tc>
          <w:tcPr>
            <w:tcW w:w="1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环境影响评价机构</w:t>
            </w:r>
          </w:p>
        </w:tc>
        <w:tc>
          <w:tcPr>
            <w:tcW w:w="25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建设项目概况</w:t>
            </w:r>
          </w:p>
        </w:tc>
        <w:tc>
          <w:tcPr>
            <w:tcW w:w="7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主要环境影响及预防或减轻不良环境影响的对策和措施</w:t>
            </w:r>
          </w:p>
        </w:tc>
      </w:tr>
      <w:tr>
        <w:tblPrEx>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南阳市德尔馨装饰材料有限公司年产</w:t>
            </w:r>
            <w:r>
              <w:rPr>
                <w:rFonts w:hint="default" w:ascii="Times New Roman" w:hAnsi="Times New Roman" w:eastAsia="宋体" w:cs="Times New Roman"/>
                <w:sz w:val="24"/>
                <w:szCs w:val="24"/>
              </w:rPr>
              <w:t>5</w:t>
            </w:r>
            <w:r>
              <w:rPr>
                <w:rFonts w:hint="eastAsia" w:ascii="宋体" w:hAnsi="宋体" w:eastAsia="宋体" w:cs="宋体"/>
                <w:sz w:val="24"/>
                <w:szCs w:val="24"/>
              </w:rPr>
              <w:t>万套木门（扶贫车间）建设项目</w:t>
            </w:r>
          </w:p>
        </w:tc>
        <w:tc>
          <w:tcPr>
            <w:tcW w:w="136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南阳市唐河县城郊乡刘马洼村委鲁庄村东头</w:t>
            </w:r>
          </w:p>
        </w:tc>
        <w:tc>
          <w:tcPr>
            <w:tcW w:w="136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南阳市德尔馨装饰材料有限公司</w:t>
            </w:r>
          </w:p>
        </w:tc>
        <w:tc>
          <w:tcPr>
            <w:tcW w:w="140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lang w:eastAsia="zh-CN"/>
              </w:rPr>
            </w:pPr>
            <w:r>
              <w:rPr>
                <w:rFonts w:hint="default" w:ascii="宋体" w:hAnsi="宋体" w:eastAsia="宋体" w:cs="宋体"/>
                <w:sz w:val="24"/>
                <w:szCs w:val="24"/>
                <w:lang w:val="zh-CN" w:eastAsia="zh-CN"/>
              </w:rPr>
              <w:t>河南省伏牛山再生资源研究院（普通合伙）</w:t>
            </w:r>
          </w:p>
        </w:tc>
        <w:tc>
          <w:tcPr>
            <w:tcW w:w="250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项目建设生产车间、综合楼等，形成年产</w:t>
            </w:r>
            <w:r>
              <w:rPr>
                <w:rFonts w:hint="default" w:ascii="Times New Roman" w:hAnsi="Times New Roman" w:eastAsia="宋体" w:cs="Times New Roman"/>
                <w:sz w:val="24"/>
                <w:szCs w:val="24"/>
                <w:lang w:val="zh-CN" w:eastAsia="zh-CN"/>
              </w:rPr>
              <w:t>5</w:t>
            </w:r>
            <w:r>
              <w:rPr>
                <w:rFonts w:hint="eastAsia" w:ascii="宋体" w:hAnsi="宋体" w:eastAsia="宋体" w:cs="宋体"/>
                <w:sz w:val="24"/>
                <w:szCs w:val="24"/>
                <w:lang w:val="zh-CN" w:eastAsia="zh-CN"/>
              </w:rPr>
              <w:t>套万木门的规模</w:t>
            </w:r>
          </w:p>
        </w:tc>
        <w:tc>
          <w:tcPr>
            <w:tcW w:w="760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大气环境</w:t>
            </w:r>
          </w:p>
          <w:p>
            <w:pPr>
              <w:keepNext w:val="0"/>
              <w:keepLines w:val="0"/>
              <w:pageBreakBefore w:val="0"/>
              <w:widowControl/>
              <w:kinsoku/>
              <w:wordWrap/>
              <w:overflowPunct/>
              <w:topLinePunct w:val="0"/>
              <w:autoSpaceDE/>
              <w:autoSpaceDN/>
              <w:bidi w:val="0"/>
              <w:adjustRightInd w:val="0"/>
              <w:snapToGrid w:val="0"/>
              <w:spacing w:after="0" w:line="240" w:lineRule="auto"/>
              <w:ind w:firstLine="489" w:firstLineChars="204"/>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项目在营运期产生的废气主要为木材加工粉尘（切割、开槽、雕刻、打孔等工序）、食堂油烟等。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木材加工粉尘</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本项目木门生产过程中</w:t>
            </w:r>
            <w:r>
              <w:rPr>
                <w:rFonts w:hint="default" w:ascii="Times New Roman" w:hAnsi="Times New Roman" w:eastAsia="宋体" w:cs="Times New Roman"/>
                <w:bCs/>
                <w:color w:val="auto"/>
                <w:sz w:val="24"/>
                <w:szCs w:val="24"/>
              </w:rPr>
              <w:t>切割、开槽、雕刻、打孔工序</w:t>
            </w:r>
            <w:r>
              <w:rPr>
                <w:rFonts w:hint="default" w:ascii="Times New Roman" w:hAnsi="Times New Roman" w:eastAsia="宋体" w:cs="Times New Roman"/>
                <w:color w:val="auto"/>
                <w:sz w:val="24"/>
                <w:szCs w:val="24"/>
              </w:rPr>
              <w:t>会产生粉尘。粉尘经各个产尘设备配套的布袋除尘器处理和车间密闭阻隔后无组织排放，排放量为0.0181t/a（0.0075kg/h），预计对环境影响不大。</w:t>
            </w:r>
          </w:p>
          <w:p>
            <w:pPr>
              <w:keepNext w:val="0"/>
              <w:keepLines w:val="0"/>
              <w:pageBreakBefore w:val="0"/>
              <w:widowControl/>
              <w:tabs>
                <w:tab w:val="left" w:pos="1784"/>
              </w:tabs>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食堂油烟</w:t>
            </w:r>
          </w:p>
          <w:p>
            <w:pPr>
              <w:keepNext w:val="0"/>
              <w:keepLines w:val="0"/>
              <w:pageBreakBefore w:val="0"/>
              <w:widowControl/>
              <w:tabs>
                <w:tab w:val="left" w:pos="1784"/>
              </w:tabs>
              <w:kinsoku/>
              <w:wordWrap/>
              <w:overflowPunct/>
              <w:topLinePunct w:val="0"/>
              <w:autoSpaceDE/>
              <w:autoSpaceDN/>
              <w:bidi w:val="0"/>
              <w:adjustRightInd w:val="0"/>
              <w:snapToGrid w:val="0"/>
              <w:spacing w:after="0" w:line="24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本项目职工食堂拟采用1个灶头，食堂在烹饪炒作时将产生油烟废气。油烟年产生油烟量为5.4kg/a，平均产生浓度为4mg/m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，评价建议食堂安装效率不低于90%油烟净化装置，高于建筑物3m排放。经处理后，油烟废气排放浓度为0.4mg/m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，符合《河南省地方标准餐饮业油烟污染物排放标准》（DB41/ 1604-2018）中</w:t>
            </w:r>
            <w:r>
              <w:rPr>
                <w:rFonts w:hint="default" w:ascii="Times New Roman" w:hAnsi="Times New Roman" w:eastAsia="宋体" w:cs="Times New Roman"/>
                <w:color w:val="auto"/>
                <w:sz w:val="24"/>
                <w:szCs w:val="24"/>
                <w:lang w:eastAsia="zh-CN"/>
              </w:rPr>
              <w:t>油烟排放浓度</w:t>
            </w:r>
            <w:r>
              <w:rPr>
                <w:rFonts w:hint="default" w:ascii="Times New Roman" w:hAnsi="Times New Roman" w:eastAsia="宋体" w:cs="Times New Roman"/>
                <w:color w:val="auto"/>
                <w:sz w:val="24"/>
                <w:szCs w:val="24"/>
              </w:rPr>
              <w:t>1.5mg/m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的要求。</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default" w:ascii="Times New Roman" w:hAnsi="Times New Roman" w:eastAsia="宋体" w:cs="Times New Roman"/>
                <w:sz w:val="24"/>
                <w:szCs w:val="24"/>
              </w:rPr>
              <w:t>2</w:t>
            </w:r>
            <w:r>
              <w:rPr>
                <w:rFonts w:hint="eastAsia" w:ascii="宋体" w:hAnsi="宋体" w:eastAsia="宋体" w:cs="宋体"/>
                <w:sz w:val="24"/>
                <w:szCs w:val="24"/>
              </w:rPr>
              <w:t>）水环境</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项目运营期间废水主要为生活污水。生活污水排放量为0.8m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/d</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240m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/a。主要污染物为COD、BOD</w:t>
            </w:r>
            <w:r>
              <w:rPr>
                <w:rFonts w:hint="default" w:ascii="Times New Roman" w:hAnsi="Times New Roman" w:eastAsia="宋体" w:cs="Times New Roman"/>
                <w:color w:val="auto"/>
                <w:sz w:val="24"/>
                <w:vertAlign w:val="subscript"/>
                <w:lang w:eastAsia="zh-CN"/>
              </w:rPr>
              <w:t>5</w:t>
            </w:r>
            <w:r>
              <w:rPr>
                <w:rFonts w:hint="default" w:ascii="Times New Roman" w:hAnsi="Times New Roman" w:eastAsia="宋体" w:cs="Times New Roman"/>
                <w:color w:val="auto"/>
                <w:sz w:val="24"/>
                <w:lang w:eastAsia="zh-CN"/>
              </w:rPr>
              <w:t>、SS、NH</w:t>
            </w:r>
            <w:r>
              <w:rPr>
                <w:rFonts w:hint="default" w:ascii="Times New Roman" w:hAnsi="Times New Roman" w:eastAsia="宋体" w:cs="Times New Roman"/>
                <w:color w:val="auto"/>
                <w:sz w:val="24"/>
                <w:vertAlign w:val="subscript"/>
                <w:lang w:eastAsia="zh-CN"/>
              </w:rPr>
              <w:t>3</w:t>
            </w:r>
            <w:r>
              <w:rPr>
                <w:rFonts w:hint="default" w:ascii="Times New Roman" w:hAnsi="Times New Roman" w:eastAsia="宋体" w:cs="Times New Roman"/>
                <w:color w:val="auto"/>
                <w:sz w:val="24"/>
                <w:lang w:eastAsia="zh-CN"/>
              </w:rPr>
              <w:t>-N、动植物油等，生活污水经化粪池处理后用作周边农田肥料，因此</w:t>
            </w:r>
            <w:r>
              <w:rPr>
                <w:rFonts w:hint="default" w:ascii="Times New Roman" w:hAnsi="Times New Roman" w:eastAsia="宋体" w:cs="Times New Roman"/>
                <w:color w:val="auto"/>
                <w:sz w:val="24"/>
              </w:rPr>
              <w:t>项目产生</w:t>
            </w:r>
            <w:r>
              <w:rPr>
                <w:rFonts w:hint="default" w:ascii="Times New Roman" w:hAnsi="Times New Roman" w:eastAsia="宋体" w:cs="Times New Roman"/>
                <w:color w:val="auto"/>
                <w:sz w:val="24"/>
                <w:lang w:eastAsia="zh-CN"/>
              </w:rPr>
              <w:t>的</w:t>
            </w:r>
            <w:r>
              <w:rPr>
                <w:rFonts w:hint="default" w:ascii="Times New Roman" w:hAnsi="Times New Roman" w:eastAsia="宋体" w:cs="Times New Roman"/>
                <w:color w:val="auto"/>
                <w:sz w:val="24"/>
              </w:rPr>
              <w:t>废水对周围水体水质产生影响不大。</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default" w:ascii="Times New Roman" w:hAnsi="Times New Roman" w:eastAsia="宋体" w:cs="Times New Roman"/>
                <w:sz w:val="24"/>
                <w:szCs w:val="24"/>
              </w:rPr>
              <w:t>3</w:t>
            </w:r>
            <w:r>
              <w:rPr>
                <w:rFonts w:hint="eastAsia" w:ascii="宋体" w:hAnsi="宋体" w:eastAsia="宋体" w:cs="宋体"/>
                <w:sz w:val="24"/>
                <w:szCs w:val="24"/>
              </w:rPr>
              <w:t>）声环境</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项目营运期噪声源主要为</w:t>
            </w:r>
            <w:r>
              <w:rPr>
                <w:rFonts w:hint="eastAsia" w:ascii="Times New Roman" w:hAnsi="Times New Roman" w:eastAsia="宋体" w:cs="Times New Roman"/>
                <w:color w:val="auto"/>
                <w:sz w:val="24"/>
                <w:lang w:val="en-US" w:eastAsia="zh-CN"/>
              </w:rPr>
              <w:t>冲床、切割机、雕刻机</w:t>
            </w:r>
            <w:r>
              <w:rPr>
                <w:rFonts w:hint="default" w:ascii="Times New Roman" w:hAnsi="Times New Roman" w:eastAsia="宋体" w:cs="Times New Roman"/>
                <w:color w:val="auto"/>
                <w:sz w:val="24"/>
                <w:lang w:val="en-US" w:eastAsia="zh-CN"/>
              </w:rPr>
              <w:t>等设备噪声，经隔声、减振、消音等措施处理后，经自然衰减后，厂界噪声能够满足《工业企业厂界环境噪声排放标准》（GB 12348-2008）表1中2类区标准的要求，预计对周围声环境影响不大。</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default" w:ascii="Times New Roman" w:hAnsi="Times New Roman" w:eastAsia="宋体" w:cs="Times New Roman"/>
                <w:sz w:val="24"/>
                <w:szCs w:val="24"/>
              </w:rPr>
              <w:t>4</w:t>
            </w:r>
            <w:r>
              <w:rPr>
                <w:rFonts w:hint="eastAsia" w:ascii="宋体" w:hAnsi="宋体" w:eastAsia="宋体" w:cs="宋体"/>
                <w:sz w:val="24"/>
                <w:szCs w:val="24"/>
              </w:rPr>
              <w:t>）固体废物</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项目产生的固废主要为职工生活垃圾、</w:t>
            </w:r>
            <w:r>
              <w:rPr>
                <w:rFonts w:hint="eastAsia" w:ascii="Times New Roman" w:hAnsi="Times New Roman" w:eastAsia="宋体" w:cs="Times New Roman"/>
                <w:color w:val="auto"/>
                <w:sz w:val="24"/>
                <w:lang w:val="en-US" w:eastAsia="zh-CN"/>
              </w:rPr>
              <w:t>化粪池污泥、除尘器收集的粉尘、废木材下脚料</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生活垃圾分类收集后由环卫部门定期清运至垃圾填埋场；化粪池污泥由环卫部门定期清掏；除尘器收集的粉尘和废木材下脚料分类收集后定期外售。</w:t>
            </w:r>
            <w:r>
              <w:rPr>
                <w:rFonts w:hint="default" w:ascii="Times New Roman" w:hAnsi="Times New Roman" w:eastAsia="宋体" w:cs="Times New Roman"/>
                <w:color w:val="auto"/>
                <w:sz w:val="24"/>
                <w:lang w:val="en-US" w:eastAsia="zh-CN"/>
              </w:rPr>
              <w:t>项目产生的</w:t>
            </w:r>
            <w:r>
              <w:rPr>
                <w:rFonts w:hint="eastAsia" w:ascii="Times New Roman" w:hAnsi="Times New Roman" w:eastAsia="宋体" w:cs="Times New Roman"/>
                <w:color w:val="auto"/>
                <w:sz w:val="24"/>
                <w:lang w:val="en-US" w:eastAsia="zh-CN"/>
              </w:rPr>
              <w:t>固体</w:t>
            </w:r>
            <w:r>
              <w:rPr>
                <w:rFonts w:hint="default" w:ascii="Times New Roman" w:hAnsi="Times New Roman" w:eastAsia="宋体" w:cs="Times New Roman"/>
                <w:color w:val="auto"/>
                <w:sz w:val="24"/>
                <w:lang w:val="en-US" w:eastAsia="zh-CN"/>
              </w:rPr>
              <w:t>废物经过以上措施处理后，预计对周围的环境不会产生明显的影响。</w:t>
            </w:r>
          </w:p>
          <w:p>
            <w:pPr>
              <w:keepNext w:val="0"/>
              <w:keepLines w:val="0"/>
              <w:pageBreakBefore w:val="0"/>
              <w:widowControl/>
              <w:numPr>
                <w:numId w:val="0"/>
              </w:numPr>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bookmarkStart w:id="1" w:name="_GoBack"/>
            <w:r>
              <w:rPr>
                <w:rFonts w:hint="default" w:ascii="Times New Roman" w:hAnsi="Times New Roman" w:eastAsia="宋体" w:cs="Times New Roman"/>
                <w:sz w:val="24"/>
                <w:szCs w:val="24"/>
                <w:lang w:val="en-US" w:eastAsia="zh-CN"/>
              </w:rPr>
              <w:t>5</w:t>
            </w:r>
            <w:bookmarkEnd w:id="1"/>
            <w:r>
              <w:rPr>
                <w:rFonts w:hint="eastAsia" w:ascii="宋体" w:hAnsi="宋体" w:eastAsia="宋体" w:cs="宋体"/>
                <w:sz w:val="24"/>
                <w:szCs w:val="24"/>
                <w:lang w:val="en-US" w:eastAsia="zh-CN"/>
              </w:rPr>
              <w:t>）危险废物</w:t>
            </w:r>
          </w:p>
          <w:p>
            <w:pPr>
              <w:keepNext w:val="0"/>
              <w:keepLines w:val="0"/>
              <w:pageBreakBefore w:val="0"/>
              <w:widowControl/>
              <w:numPr>
                <w:numId w:val="0"/>
              </w:numPr>
              <w:kinsoku/>
              <w:wordWrap/>
              <w:overflowPunct/>
              <w:topLinePunct w:val="0"/>
              <w:autoSpaceDE/>
              <w:autoSpaceDN/>
              <w:bidi w:val="0"/>
              <w:adjustRightInd w:val="0"/>
              <w:snapToGrid w:val="0"/>
              <w:spacing w:after="0" w:line="24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项目产生的危废主要为</w:t>
            </w:r>
            <w:r>
              <w:rPr>
                <w:rFonts w:hint="eastAsia" w:ascii="Times New Roman" w:hAnsi="Times New Roman" w:eastAsia="宋体" w:cs="Times New Roman"/>
                <w:color w:val="auto"/>
                <w:sz w:val="24"/>
                <w:lang w:val="en-US" w:eastAsia="zh-CN"/>
              </w:rPr>
              <w:t>废胶桶</w:t>
            </w:r>
            <w:r>
              <w:rPr>
                <w:rFonts w:hint="default" w:ascii="Times New Roman" w:hAnsi="Times New Roman" w:eastAsia="宋体" w:cs="Times New Roman"/>
                <w:color w:val="auto"/>
                <w:sz w:val="24"/>
                <w:lang w:val="en-US" w:eastAsia="zh-CN"/>
              </w:rPr>
              <w:t>和废机油。</w:t>
            </w:r>
            <w:r>
              <w:rPr>
                <w:rFonts w:hint="eastAsia" w:ascii="Times New Roman" w:hAnsi="Times New Roman" w:eastAsia="宋体" w:cs="Times New Roman"/>
                <w:color w:val="auto"/>
                <w:sz w:val="24"/>
                <w:lang w:val="en-US" w:eastAsia="zh-CN"/>
              </w:rPr>
              <w:t>废胶桶在危废暂存间里暂存，定期由厂家回收；废机油分类收集后在危废暂存间里暂存，并由危废处置资质单位处理，</w:t>
            </w:r>
            <w:r>
              <w:rPr>
                <w:rFonts w:hint="default" w:ascii="Times New Roman" w:hAnsi="Times New Roman" w:eastAsia="宋体" w:cs="Times New Roman"/>
                <w:color w:val="auto"/>
                <w:sz w:val="24"/>
                <w:lang w:val="en-US" w:eastAsia="zh-CN"/>
              </w:rPr>
              <w:t>项目产生的危险废物经过以上措施处理后，预计对周围的环境不会产生明显的影响。</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sz w:val="24"/>
                <w:szCs w:val="24"/>
                <w:lang w:eastAsia="zh-CN"/>
              </w:rPr>
            </w:pPr>
          </w:p>
        </w:tc>
      </w:tr>
    </w:tbl>
    <w:p>
      <w:pPr>
        <w:spacing w:line="220" w:lineRule="atLeast"/>
      </w:pPr>
    </w:p>
    <w:sectPr>
      <w:pgSz w:w="16838" w:h="11906" w:orient="landscape"/>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E711F"/>
    <w:rsid w:val="00323B43"/>
    <w:rsid w:val="003D37D8"/>
    <w:rsid w:val="00426133"/>
    <w:rsid w:val="004358AB"/>
    <w:rsid w:val="008B7726"/>
    <w:rsid w:val="00D31D50"/>
    <w:rsid w:val="00F961CA"/>
    <w:rsid w:val="01827A7D"/>
    <w:rsid w:val="030157D8"/>
    <w:rsid w:val="040B2174"/>
    <w:rsid w:val="04F61F9D"/>
    <w:rsid w:val="07735EBB"/>
    <w:rsid w:val="09B52991"/>
    <w:rsid w:val="0A584443"/>
    <w:rsid w:val="0B0467AE"/>
    <w:rsid w:val="0BAC7ED0"/>
    <w:rsid w:val="0CA3085E"/>
    <w:rsid w:val="0E662097"/>
    <w:rsid w:val="0EC0312C"/>
    <w:rsid w:val="0FAF5300"/>
    <w:rsid w:val="10961728"/>
    <w:rsid w:val="112774CF"/>
    <w:rsid w:val="12071332"/>
    <w:rsid w:val="120C74BA"/>
    <w:rsid w:val="128713BC"/>
    <w:rsid w:val="13D66742"/>
    <w:rsid w:val="13DA579C"/>
    <w:rsid w:val="13F96E87"/>
    <w:rsid w:val="141D21EF"/>
    <w:rsid w:val="14723F31"/>
    <w:rsid w:val="152A58C9"/>
    <w:rsid w:val="15C90CD6"/>
    <w:rsid w:val="16D66226"/>
    <w:rsid w:val="181F369C"/>
    <w:rsid w:val="18D802C0"/>
    <w:rsid w:val="1A682B90"/>
    <w:rsid w:val="1BA86468"/>
    <w:rsid w:val="1F3A4133"/>
    <w:rsid w:val="1F751A2B"/>
    <w:rsid w:val="1FB57E4F"/>
    <w:rsid w:val="200C1F8F"/>
    <w:rsid w:val="22362DFD"/>
    <w:rsid w:val="2253429C"/>
    <w:rsid w:val="23CD1931"/>
    <w:rsid w:val="241E6D7D"/>
    <w:rsid w:val="25C41CA3"/>
    <w:rsid w:val="26104F54"/>
    <w:rsid w:val="27D908E1"/>
    <w:rsid w:val="28D7242A"/>
    <w:rsid w:val="2B7B25A4"/>
    <w:rsid w:val="2B950C69"/>
    <w:rsid w:val="2BC74DD4"/>
    <w:rsid w:val="2C255548"/>
    <w:rsid w:val="2CF1326E"/>
    <w:rsid w:val="2DC538CC"/>
    <w:rsid w:val="2E293F5D"/>
    <w:rsid w:val="2E8B3468"/>
    <w:rsid w:val="2F265944"/>
    <w:rsid w:val="30BE1D6C"/>
    <w:rsid w:val="323A3DA9"/>
    <w:rsid w:val="33665C2E"/>
    <w:rsid w:val="34D97433"/>
    <w:rsid w:val="35261A06"/>
    <w:rsid w:val="362E01AE"/>
    <w:rsid w:val="36D82B59"/>
    <w:rsid w:val="394226AC"/>
    <w:rsid w:val="397940CF"/>
    <w:rsid w:val="3AE14AD6"/>
    <w:rsid w:val="3B84267F"/>
    <w:rsid w:val="3C8C02E8"/>
    <w:rsid w:val="3CB15F79"/>
    <w:rsid w:val="3DC36581"/>
    <w:rsid w:val="40FB2E03"/>
    <w:rsid w:val="41DD6EA3"/>
    <w:rsid w:val="42951F91"/>
    <w:rsid w:val="434522D7"/>
    <w:rsid w:val="44515478"/>
    <w:rsid w:val="450F0863"/>
    <w:rsid w:val="45813F50"/>
    <w:rsid w:val="4748753C"/>
    <w:rsid w:val="49225A10"/>
    <w:rsid w:val="4AF23ECD"/>
    <w:rsid w:val="4BD02BA0"/>
    <w:rsid w:val="4CFB0C35"/>
    <w:rsid w:val="4FF84A00"/>
    <w:rsid w:val="50DE5206"/>
    <w:rsid w:val="515503F7"/>
    <w:rsid w:val="53587D88"/>
    <w:rsid w:val="56084F37"/>
    <w:rsid w:val="569837A1"/>
    <w:rsid w:val="57287393"/>
    <w:rsid w:val="580F7C54"/>
    <w:rsid w:val="596C65C2"/>
    <w:rsid w:val="59AE51A1"/>
    <w:rsid w:val="59D604FA"/>
    <w:rsid w:val="5BA961AF"/>
    <w:rsid w:val="5C356488"/>
    <w:rsid w:val="5FE643B5"/>
    <w:rsid w:val="61A115A2"/>
    <w:rsid w:val="63FC08BC"/>
    <w:rsid w:val="64BE2975"/>
    <w:rsid w:val="64E00CA5"/>
    <w:rsid w:val="65B54377"/>
    <w:rsid w:val="65DB17E9"/>
    <w:rsid w:val="65E55D13"/>
    <w:rsid w:val="660F5ADA"/>
    <w:rsid w:val="674D7FE5"/>
    <w:rsid w:val="67B665BD"/>
    <w:rsid w:val="67E01500"/>
    <w:rsid w:val="68274632"/>
    <w:rsid w:val="68424AEB"/>
    <w:rsid w:val="6860112C"/>
    <w:rsid w:val="69B60550"/>
    <w:rsid w:val="6A034604"/>
    <w:rsid w:val="6A5F3697"/>
    <w:rsid w:val="6AC277CC"/>
    <w:rsid w:val="6B712423"/>
    <w:rsid w:val="6CB74A1D"/>
    <w:rsid w:val="6CD961D7"/>
    <w:rsid w:val="6E7D1951"/>
    <w:rsid w:val="6ECD67E6"/>
    <w:rsid w:val="6FE606BE"/>
    <w:rsid w:val="703D4401"/>
    <w:rsid w:val="70CA16BE"/>
    <w:rsid w:val="72C00F30"/>
    <w:rsid w:val="74F71972"/>
    <w:rsid w:val="75420F46"/>
    <w:rsid w:val="7737692E"/>
    <w:rsid w:val="778375E9"/>
    <w:rsid w:val="779173F9"/>
    <w:rsid w:val="787F19DE"/>
    <w:rsid w:val="794D2A8F"/>
    <w:rsid w:val="799009EB"/>
    <w:rsid w:val="79A07892"/>
    <w:rsid w:val="7A0F443E"/>
    <w:rsid w:val="7B52428E"/>
    <w:rsid w:val="7C04518C"/>
    <w:rsid w:val="7C5602A3"/>
    <w:rsid w:val="7DB464A9"/>
    <w:rsid w:val="7E03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iPriority w:val="0"/>
    <w:pPr>
      <w:ind w:firstLine="420"/>
    </w:pPr>
    <w:rPr>
      <w:sz w:val="21"/>
      <w:szCs w:val="21"/>
    </w:rPr>
  </w:style>
  <w:style w:type="paragraph" w:styleId="5">
    <w:name w:val="Body Text"/>
    <w:basedOn w:val="1"/>
    <w:unhideWhenUsed/>
    <w:qFormat/>
    <w:uiPriority w:val="99"/>
    <w:pPr>
      <w:widowControl/>
      <w:spacing w:after="120" w:line="240" w:lineRule="auto"/>
      <w:ind w:firstLine="0" w:firstLineChars="0"/>
      <w:jc w:val="left"/>
    </w:pPr>
    <w:rPr>
      <w:sz w:val="21"/>
      <w:szCs w:val="24"/>
    </w:rPr>
  </w:style>
  <w:style w:type="paragraph" w:styleId="6">
    <w:name w:val="Body Text Indent 3"/>
    <w:basedOn w:val="1"/>
    <w:qFormat/>
    <w:uiPriority w:val="0"/>
    <w:pPr>
      <w:ind w:left="840" w:leftChars="400"/>
    </w:pPr>
    <w:rPr>
      <w:rFonts w:ascii="宋体" w:hAnsi="宋体"/>
      <w:kern w:val="0"/>
      <w:sz w:val="28"/>
    </w:rPr>
  </w:style>
  <w:style w:type="paragraph" w:customStyle="1" w:styleId="9">
    <w:name w:val="报告正文"/>
    <w:basedOn w:val="1"/>
    <w:uiPriority w:val="0"/>
    <w:pPr>
      <w:spacing w:line="360" w:lineRule="auto"/>
      <w:ind w:firstLine="200" w:firstLineChars="200"/>
    </w:pPr>
    <w:rPr>
      <w:rFonts w:ascii="宋体" w:hAnsi="宋体"/>
      <w:kern w:val="0"/>
      <w:sz w:val="28"/>
      <w:szCs w:val="20"/>
    </w:rPr>
  </w:style>
  <w:style w:type="paragraph" w:customStyle="1" w:styleId="10">
    <w:name w:val="Plain Text"/>
    <w:basedOn w:val="1"/>
    <w:qFormat/>
    <w:uiPriority w:val="0"/>
    <w:pPr>
      <w:adjustRightInd w:val="0"/>
      <w:jc w:val="left"/>
    </w:pPr>
    <w:rPr>
      <w:rFonts w:ascii="宋体" w:hAnsi="Courier New"/>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1</TotalTime>
  <ScaleCrop>false</ScaleCrop>
  <LinksUpToDate>false</LinksUpToDate>
  <CharactersWithSpaces>837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陈星</cp:lastModifiedBy>
  <dcterms:modified xsi:type="dcterms:W3CDTF">2020-12-23T08:50:44Z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