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684" w:type="dxa"/>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5"/>
        <w:gridCol w:w="1125"/>
        <w:gridCol w:w="705"/>
        <w:gridCol w:w="855"/>
        <w:gridCol w:w="966"/>
        <w:gridCol w:w="3385"/>
        <w:gridCol w:w="4962"/>
        <w:gridCol w:w="1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CellSpacing w:w="0" w:type="dxa"/>
          <w:jc w:val="center"/>
        </w:trPr>
        <w:tc>
          <w:tcPr>
            <w:tcW w:w="405" w:type="dxa"/>
            <w:vAlign w:val="center"/>
          </w:tcPr>
          <w:p>
            <w:pPr>
              <w:widowControl/>
              <w:jc w:val="center"/>
              <w:rPr>
                <w:rFonts w:ascii="Times New Roman" w:hAnsi="Times New Roman"/>
                <w:color w:val="000000"/>
                <w:kern w:val="0"/>
                <w:sz w:val="18"/>
                <w:szCs w:val="18"/>
              </w:rPr>
            </w:pPr>
            <w:bookmarkStart w:id="0" w:name="_GoBack"/>
            <w:bookmarkEnd w:id="0"/>
            <w:r>
              <w:rPr>
                <w:rFonts w:ascii="Times New Roman" w:hAnsi="Times New Roman"/>
                <w:b/>
                <w:bCs/>
                <w:color w:val="000000"/>
                <w:kern w:val="0"/>
                <w:sz w:val="18"/>
                <w:szCs w:val="18"/>
              </w:rPr>
              <w:t>序号</w:t>
            </w:r>
          </w:p>
        </w:tc>
        <w:tc>
          <w:tcPr>
            <w:tcW w:w="1125" w:type="dxa"/>
            <w:vAlign w:val="center"/>
          </w:tcPr>
          <w:p>
            <w:pPr>
              <w:widowControl/>
              <w:jc w:val="center"/>
              <w:rPr>
                <w:rFonts w:ascii="Times New Roman" w:hAnsi="Times New Roman"/>
                <w:color w:val="000000"/>
                <w:kern w:val="0"/>
                <w:sz w:val="18"/>
                <w:szCs w:val="18"/>
              </w:rPr>
            </w:pPr>
            <w:r>
              <w:rPr>
                <w:rFonts w:ascii="Times New Roman" w:hAnsi="Times New Roman"/>
                <w:b/>
                <w:bCs/>
                <w:color w:val="000000"/>
                <w:kern w:val="0"/>
                <w:sz w:val="18"/>
                <w:szCs w:val="18"/>
              </w:rPr>
              <w:t>项目名称</w:t>
            </w:r>
          </w:p>
        </w:tc>
        <w:tc>
          <w:tcPr>
            <w:tcW w:w="705" w:type="dxa"/>
            <w:vAlign w:val="center"/>
          </w:tcPr>
          <w:p>
            <w:pPr>
              <w:widowControl/>
              <w:jc w:val="center"/>
              <w:rPr>
                <w:rFonts w:hint="eastAsia" w:ascii="Times New Roman" w:hAnsi="Times New Roman"/>
                <w:b/>
                <w:bCs/>
                <w:color w:val="000000"/>
                <w:kern w:val="0"/>
                <w:sz w:val="18"/>
                <w:szCs w:val="18"/>
              </w:rPr>
            </w:pPr>
            <w:r>
              <w:rPr>
                <w:rFonts w:ascii="Times New Roman" w:hAnsi="Times New Roman"/>
                <w:b/>
                <w:bCs/>
                <w:color w:val="000000"/>
                <w:kern w:val="0"/>
                <w:sz w:val="18"/>
                <w:szCs w:val="18"/>
              </w:rPr>
              <w:t>建设</w:t>
            </w:r>
          </w:p>
          <w:p>
            <w:pPr>
              <w:widowControl/>
              <w:jc w:val="center"/>
              <w:rPr>
                <w:rFonts w:ascii="Times New Roman" w:hAnsi="Times New Roman"/>
                <w:color w:val="000000"/>
                <w:kern w:val="0"/>
                <w:sz w:val="18"/>
                <w:szCs w:val="18"/>
              </w:rPr>
            </w:pPr>
            <w:r>
              <w:rPr>
                <w:rFonts w:ascii="Times New Roman" w:hAnsi="Times New Roman"/>
                <w:b/>
                <w:bCs/>
                <w:color w:val="000000"/>
                <w:kern w:val="0"/>
                <w:sz w:val="18"/>
                <w:szCs w:val="18"/>
              </w:rPr>
              <w:t>地点</w:t>
            </w:r>
          </w:p>
        </w:tc>
        <w:tc>
          <w:tcPr>
            <w:tcW w:w="855" w:type="dxa"/>
            <w:vAlign w:val="center"/>
          </w:tcPr>
          <w:p>
            <w:pPr>
              <w:widowControl/>
              <w:jc w:val="center"/>
              <w:rPr>
                <w:rFonts w:ascii="Times New Roman" w:hAnsi="Times New Roman"/>
                <w:color w:val="000000"/>
                <w:kern w:val="0"/>
                <w:sz w:val="18"/>
                <w:szCs w:val="18"/>
              </w:rPr>
            </w:pPr>
            <w:r>
              <w:rPr>
                <w:rFonts w:ascii="Times New Roman" w:hAnsi="Times New Roman"/>
                <w:b/>
                <w:bCs/>
                <w:color w:val="000000"/>
                <w:kern w:val="0"/>
                <w:sz w:val="18"/>
                <w:szCs w:val="18"/>
              </w:rPr>
              <w:t>建设单位</w:t>
            </w:r>
          </w:p>
        </w:tc>
        <w:tc>
          <w:tcPr>
            <w:tcW w:w="966" w:type="dxa"/>
            <w:vAlign w:val="center"/>
          </w:tcPr>
          <w:p>
            <w:pPr>
              <w:widowControl/>
              <w:jc w:val="center"/>
              <w:rPr>
                <w:rFonts w:ascii="Times New Roman" w:hAnsi="Times New Roman"/>
                <w:color w:val="000000"/>
                <w:kern w:val="0"/>
                <w:sz w:val="18"/>
                <w:szCs w:val="18"/>
              </w:rPr>
            </w:pPr>
            <w:r>
              <w:rPr>
                <w:rFonts w:ascii="Times New Roman" w:hAnsi="Times New Roman"/>
                <w:b/>
                <w:bCs/>
                <w:color w:val="000000"/>
                <w:kern w:val="0"/>
                <w:sz w:val="18"/>
                <w:szCs w:val="18"/>
              </w:rPr>
              <w:t>环境影响评价机构</w:t>
            </w:r>
          </w:p>
        </w:tc>
        <w:tc>
          <w:tcPr>
            <w:tcW w:w="3385" w:type="dxa"/>
            <w:vAlign w:val="center"/>
          </w:tcPr>
          <w:p>
            <w:pPr>
              <w:widowControl/>
              <w:jc w:val="center"/>
              <w:rPr>
                <w:rFonts w:ascii="Times New Roman" w:hAnsi="Times New Roman"/>
                <w:color w:val="000000"/>
                <w:kern w:val="0"/>
                <w:sz w:val="18"/>
                <w:szCs w:val="18"/>
              </w:rPr>
            </w:pPr>
            <w:r>
              <w:rPr>
                <w:rFonts w:ascii="Times New Roman" w:hAnsi="Times New Roman"/>
                <w:b/>
                <w:bCs/>
                <w:color w:val="000000"/>
                <w:kern w:val="0"/>
                <w:sz w:val="18"/>
                <w:szCs w:val="18"/>
              </w:rPr>
              <w:t>建设项目概况</w:t>
            </w:r>
          </w:p>
        </w:tc>
        <w:tc>
          <w:tcPr>
            <w:tcW w:w="4962" w:type="dxa"/>
            <w:vAlign w:val="center"/>
          </w:tcPr>
          <w:p>
            <w:pPr>
              <w:widowControl/>
              <w:jc w:val="center"/>
              <w:rPr>
                <w:rFonts w:ascii="Times New Roman" w:hAnsi="Times New Roman"/>
                <w:color w:val="000000"/>
                <w:kern w:val="0"/>
                <w:sz w:val="18"/>
                <w:szCs w:val="18"/>
              </w:rPr>
            </w:pPr>
            <w:r>
              <w:rPr>
                <w:rFonts w:ascii="Times New Roman" w:hAnsi="Times New Roman"/>
                <w:b/>
                <w:bCs/>
                <w:color w:val="000000"/>
                <w:kern w:val="0"/>
                <w:sz w:val="18"/>
                <w:szCs w:val="18"/>
              </w:rPr>
              <w:t>主要环境影响及预防或减轻不良环境影响的对策和措施</w:t>
            </w:r>
          </w:p>
        </w:tc>
        <w:tc>
          <w:tcPr>
            <w:tcW w:w="1281" w:type="dxa"/>
            <w:vAlign w:val="center"/>
          </w:tcPr>
          <w:p>
            <w:pPr>
              <w:widowControl/>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公众参与情况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CellSpacing w:w="0" w:type="dxa"/>
          <w:jc w:val="center"/>
        </w:trPr>
        <w:tc>
          <w:tcPr>
            <w:tcW w:w="405" w:type="dxa"/>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125" w:type="dxa"/>
            <w:vAlign w:val="center"/>
          </w:tcPr>
          <w:p>
            <w:pPr>
              <w:widowControl/>
              <w:jc w:val="center"/>
              <w:rPr>
                <w:rFonts w:ascii="Times New Roman" w:hAnsi="Times New Roman"/>
                <w:color w:val="000000"/>
                <w:kern w:val="0"/>
                <w:sz w:val="18"/>
                <w:szCs w:val="18"/>
              </w:rPr>
            </w:pPr>
            <w:r>
              <w:rPr>
                <w:rFonts w:ascii="Times New Roman" w:hAnsiTheme="minorEastAsia"/>
                <w:kern w:val="0"/>
                <w:sz w:val="18"/>
                <w:szCs w:val="24"/>
              </w:rPr>
              <w:t>唐河县古城乡登岳养殖场年出栏</w:t>
            </w:r>
            <w:r>
              <w:rPr>
                <w:rFonts w:ascii="Times New Roman" w:hAnsi="Times New Roman"/>
                <w:kern w:val="0"/>
                <w:sz w:val="18"/>
                <w:szCs w:val="24"/>
              </w:rPr>
              <w:t>1.2万</w:t>
            </w:r>
            <w:r>
              <w:rPr>
                <w:rFonts w:ascii="Times New Roman" w:hAnsiTheme="minorEastAsia"/>
                <w:kern w:val="0"/>
                <w:sz w:val="18"/>
                <w:szCs w:val="24"/>
              </w:rPr>
              <w:t>头生猪养殖项目</w:t>
            </w:r>
          </w:p>
        </w:tc>
        <w:tc>
          <w:tcPr>
            <w:tcW w:w="705" w:type="dxa"/>
            <w:vAlign w:val="center"/>
          </w:tcPr>
          <w:p>
            <w:pPr>
              <w:widowControl/>
              <w:jc w:val="center"/>
              <w:rPr>
                <w:rFonts w:ascii="Times New Roman" w:hAnsi="Times New Roman"/>
                <w:color w:val="000000"/>
                <w:kern w:val="0"/>
                <w:sz w:val="18"/>
                <w:szCs w:val="18"/>
              </w:rPr>
            </w:pPr>
            <w:r>
              <w:rPr>
                <w:rFonts w:hint="eastAsia" w:hAnsiTheme="minorEastAsia"/>
                <w:kern w:val="0"/>
                <w:sz w:val="18"/>
                <w:szCs w:val="24"/>
              </w:rPr>
              <w:t>南阳市唐河县古城乡魏庄村</w:t>
            </w:r>
          </w:p>
        </w:tc>
        <w:tc>
          <w:tcPr>
            <w:tcW w:w="855" w:type="dxa"/>
            <w:vAlign w:val="center"/>
          </w:tcPr>
          <w:p>
            <w:pPr>
              <w:widowControl/>
              <w:jc w:val="center"/>
              <w:rPr>
                <w:rFonts w:ascii="Times New Roman" w:hAnsi="Times New Roman"/>
                <w:color w:val="000000"/>
                <w:kern w:val="0"/>
                <w:sz w:val="18"/>
                <w:szCs w:val="18"/>
              </w:rPr>
            </w:pPr>
            <w:r>
              <w:rPr>
                <w:rFonts w:hint="eastAsia" w:hAnsiTheme="minorEastAsia"/>
                <w:kern w:val="0"/>
                <w:sz w:val="18"/>
                <w:szCs w:val="24"/>
              </w:rPr>
              <w:t>唐河县古城乡登岳养殖场</w:t>
            </w:r>
          </w:p>
        </w:tc>
        <w:tc>
          <w:tcPr>
            <w:tcW w:w="966" w:type="dxa"/>
            <w:vAlign w:val="center"/>
          </w:tcPr>
          <w:p>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sz w:val="18"/>
                <w:szCs w:val="30"/>
              </w:rPr>
              <w:t>河南晨鹤环境科技有限公司</w:t>
            </w:r>
          </w:p>
        </w:tc>
        <w:tc>
          <w:tcPr>
            <w:tcW w:w="3385" w:type="dxa"/>
            <w:vAlign w:val="center"/>
          </w:tcPr>
          <w:p>
            <w:pPr>
              <w:widowControl/>
              <w:jc w:val="left"/>
              <w:rPr>
                <w:rFonts w:hint="eastAsia" w:ascii="Times New Roman" w:hAnsi="Times New Roman"/>
                <w:kern w:val="0"/>
                <w:sz w:val="18"/>
                <w:szCs w:val="24"/>
              </w:rPr>
            </w:pPr>
            <w:r>
              <w:rPr>
                <w:rFonts w:hint="eastAsia" w:ascii="Times New Roman" w:hAnsi="Times New Roman"/>
                <w:color w:val="000000"/>
                <w:kern w:val="0"/>
                <w:sz w:val="18"/>
                <w:szCs w:val="18"/>
              </w:rPr>
              <w:t>主要构筑物：在现有场区北侧和西侧新征占地30亩，利用现有猪舍、饲料库、办公用房和固粪堆肥间，并新增猪舍6栋，</w:t>
            </w:r>
            <w:r>
              <w:rPr>
                <w:rFonts w:hint="eastAsia" w:hAnsiTheme="minorEastAsia"/>
                <w:kern w:val="0"/>
                <w:sz w:val="18"/>
                <w:szCs w:val="24"/>
              </w:rPr>
              <w:t>对现有猪舍进行重新布局调整，将现有猪舍内空置的栏位用于存栏本次扩建的生猪，同时对现有粪污治理设施进行改造扩建，满足全场粪污治理设施的需求。</w:t>
            </w:r>
            <w:r>
              <w:rPr>
                <w:rFonts w:ascii="Times New Roman" w:hAnsi="Times New Roman"/>
                <w:kern w:val="0"/>
                <w:sz w:val="18"/>
                <w:szCs w:val="24"/>
              </w:rPr>
              <w:t>全场建设种公猪舍1栋、空怀舍2栋、怀孕舍2栋、哺乳舍4栋、保育舍2栋、育肥舍8栋以及配套饲料库1栋、办公生活用房1栋，固粪堆肥间1栋，共计22栋</w:t>
            </w:r>
            <w:r>
              <w:rPr>
                <w:rFonts w:hint="eastAsia" w:ascii="Times New Roman" w:hAnsi="Times New Roman"/>
                <w:kern w:val="0"/>
                <w:sz w:val="18"/>
                <w:szCs w:val="24"/>
              </w:rPr>
              <w:t>。</w:t>
            </w:r>
          </w:p>
          <w:p>
            <w:pPr>
              <w:widowControl/>
              <w:jc w:val="left"/>
              <w:rPr>
                <w:rFonts w:hint="eastAsia" w:ascii="Times New Roman" w:hAnsi="Times New Roman"/>
                <w:color w:val="000000"/>
                <w:kern w:val="0"/>
                <w:sz w:val="15"/>
                <w:szCs w:val="18"/>
              </w:rPr>
            </w:pPr>
            <w:r>
              <w:rPr>
                <w:rFonts w:hint="eastAsia" w:ascii="Times New Roman" w:hAnsi="Times New Roman"/>
                <w:kern w:val="0"/>
                <w:sz w:val="18"/>
                <w:szCs w:val="24"/>
              </w:rPr>
              <w:t>建设规模：年出栏1.2万头商品育肥生猪。</w:t>
            </w:r>
          </w:p>
          <w:p>
            <w:pPr>
              <w:jc w:val="left"/>
              <w:rPr>
                <w:rFonts w:ascii="Times New Roman" w:hAnsi="Times New Roman"/>
                <w:color w:val="000000"/>
                <w:kern w:val="0"/>
                <w:sz w:val="18"/>
                <w:szCs w:val="18"/>
              </w:rPr>
            </w:pPr>
            <w:r>
              <w:rPr>
                <w:rFonts w:hint="eastAsia" w:ascii="Times New Roman" w:hAnsi="Times New Roman"/>
                <w:color w:val="000000"/>
                <w:kern w:val="0"/>
                <w:sz w:val="18"/>
                <w:szCs w:val="18"/>
              </w:rPr>
              <w:t>主要设备：饮水器、风机、饲料罐、降温水帘、高压水枪、粉碎机、混合机、上料机、固液分离机等。</w:t>
            </w:r>
          </w:p>
          <w:p>
            <w:pPr>
              <w:jc w:val="left"/>
              <w:rPr>
                <w:rFonts w:ascii="Times New Roman" w:hAnsi="Times New Roman"/>
                <w:color w:val="000000"/>
                <w:kern w:val="0"/>
                <w:sz w:val="18"/>
                <w:szCs w:val="18"/>
              </w:rPr>
            </w:pPr>
            <w:r>
              <w:rPr>
                <w:rFonts w:hint="eastAsia" w:ascii="Times New Roman" w:hAnsi="Times New Roman"/>
                <w:color w:val="000000"/>
                <w:kern w:val="0"/>
                <w:sz w:val="18"/>
                <w:szCs w:val="18"/>
              </w:rPr>
              <w:t>原辅材料：玉米、麦麸、豆粕、除臭剂、疫苗、消毒剂、脱硫剂等。</w:t>
            </w:r>
          </w:p>
          <w:p>
            <w:pPr>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生产工艺：配种</w:t>
            </w:r>
            <w:r>
              <w:rPr>
                <w:rFonts w:ascii="Times New Roman" w:hAnsi="Times New Roman"/>
                <w:color w:val="000000"/>
                <w:kern w:val="0"/>
                <w:sz w:val="18"/>
                <w:szCs w:val="18"/>
              </w:rPr>
              <w:t>→</w:t>
            </w:r>
            <w:r>
              <w:rPr>
                <w:rFonts w:hint="eastAsia" w:ascii="Times New Roman" w:hAnsi="Times New Roman"/>
                <w:color w:val="000000"/>
                <w:kern w:val="0"/>
                <w:sz w:val="18"/>
                <w:szCs w:val="18"/>
              </w:rPr>
              <w:t>妊娠</w:t>
            </w:r>
            <w:r>
              <w:rPr>
                <w:rFonts w:ascii="Times New Roman" w:hAnsi="Times New Roman"/>
                <w:color w:val="000000"/>
                <w:kern w:val="0"/>
                <w:sz w:val="18"/>
                <w:szCs w:val="18"/>
              </w:rPr>
              <w:t>→</w:t>
            </w:r>
            <w:r>
              <w:rPr>
                <w:rFonts w:hint="eastAsia" w:ascii="Times New Roman" w:hAnsi="Times New Roman"/>
                <w:color w:val="000000"/>
                <w:kern w:val="0"/>
                <w:sz w:val="18"/>
                <w:szCs w:val="18"/>
              </w:rPr>
              <w:t>分娩哺乳→仔猪保育→生长育肥→检验称重→出售；</w:t>
            </w:r>
          </w:p>
          <w:p>
            <w:pPr>
              <w:jc w:val="left"/>
              <w:rPr>
                <w:rFonts w:ascii="Times New Roman" w:hAnsi="Times New Roman"/>
                <w:color w:val="000000"/>
                <w:sz w:val="18"/>
                <w:szCs w:val="18"/>
              </w:rPr>
            </w:pPr>
            <w:r>
              <w:rPr>
                <w:rFonts w:ascii="Times New Roman" w:hAnsi="Times New Roman"/>
                <w:sz w:val="18"/>
              </w:rPr>
              <w:t>清粪方法采用经环保部认定的清粪工艺（环办函【2015】425号）</w:t>
            </w:r>
          </w:p>
        </w:tc>
        <w:tc>
          <w:tcPr>
            <w:tcW w:w="4962" w:type="dxa"/>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1.废水污染防治措施：</w:t>
            </w:r>
            <w:r>
              <w:rPr>
                <w:rFonts w:asciiTheme="minorEastAsia" w:hAnsiTheme="minorEastAsia" w:eastAsiaTheme="minorEastAsia"/>
                <w:sz w:val="18"/>
              </w:rPr>
              <w:t>本项目采用环保部认定的清粪工艺，项目废水经“固液分离+全封闭厌氧塘”处理后，沼气火炬燃烧，沼液暂存于沼液储存池内施肥季节用于周围农田施肥，非施肥季节在沼液储存池中储存是可行的</w:t>
            </w:r>
            <w:r>
              <w:rPr>
                <w:rFonts w:hint="eastAsia" w:asciiTheme="minorEastAsia" w:hAnsiTheme="minorEastAsia" w:eastAsiaTheme="minorEastAsia"/>
                <w:sz w:val="18"/>
              </w:rPr>
              <w:t>，</w:t>
            </w:r>
            <w:r>
              <w:rPr>
                <w:rFonts w:asciiTheme="minorEastAsia" w:hAnsiTheme="minorEastAsia" w:eastAsiaTheme="minorEastAsia"/>
                <w:sz w:val="18"/>
              </w:rPr>
              <w:t>能够做到沼气沼液沼渣的完全综合利用。</w:t>
            </w:r>
          </w:p>
          <w:p>
            <w:pPr>
              <w:rPr>
                <w:rFonts w:hint="eastAsia" w:ascii="Times New Roman" w:hAnsi="Times New Roman"/>
                <w:color w:val="000000"/>
                <w:kern w:val="0"/>
                <w:sz w:val="18"/>
                <w:szCs w:val="18"/>
              </w:rPr>
            </w:pPr>
            <w:r>
              <w:rPr>
                <w:rFonts w:ascii="Times New Roman" w:hAnsi="Times New Roman"/>
                <w:color w:val="000000"/>
                <w:kern w:val="0"/>
                <w:sz w:val="18"/>
                <w:szCs w:val="18"/>
              </w:rPr>
              <w:t>2.大气环境污染防治措施：</w:t>
            </w:r>
            <w:r>
              <w:rPr>
                <w:rFonts w:asciiTheme="minorEastAsia" w:hAnsiTheme="minorEastAsia" w:eastAsiaTheme="minorEastAsia"/>
                <w:sz w:val="18"/>
              </w:rPr>
              <w:t>本项目在猪舍采用定期冲圈、定期喷洒除臭剂，恶臭去除效</w:t>
            </w:r>
            <w:r>
              <w:rPr>
                <w:rFonts w:ascii="Times New Roman" w:hAnsiTheme="minorEastAsia" w:eastAsiaTheme="minorEastAsia"/>
                <w:sz w:val="18"/>
              </w:rPr>
              <w:t>率</w:t>
            </w:r>
            <w:r>
              <w:rPr>
                <w:rFonts w:ascii="Times New Roman" w:hAnsi="Times New Roman" w:eastAsiaTheme="minorEastAsia"/>
                <w:sz w:val="18"/>
              </w:rPr>
              <w:t>6</w:t>
            </w:r>
            <w:r>
              <w:rPr>
                <w:rFonts w:hint="eastAsia" w:ascii="Times New Roman" w:hAnsi="Times New Roman" w:eastAsiaTheme="minorEastAsia"/>
                <w:sz w:val="18"/>
              </w:rPr>
              <w:t>0</w:t>
            </w:r>
            <w:r>
              <w:rPr>
                <w:rFonts w:ascii="Times New Roman" w:hAnsi="Times New Roman" w:eastAsiaTheme="minorEastAsia"/>
                <w:sz w:val="18"/>
              </w:rPr>
              <w:t>%</w:t>
            </w:r>
            <w:r>
              <w:rPr>
                <w:rFonts w:ascii="Times New Roman" w:hAnsiTheme="minorEastAsia" w:eastAsiaTheme="minorEastAsia"/>
                <w:sz w:val="18"/>
              </w:rPr>
              <w:t>；</w:t>
            </w:r>
            <w:r>
              <w:rPr>
                <w:rFonts w:asciiTheme="minorEastAsia" w:hAnsiTheme="minorEastAsia" w:eastAsiaTheme="minorEastAsia"/>
                <w:sz w:val="18"/>
              </w:rPr>
              <w:t>固粪处理区采用</w:t>
            </w:r>
            <w:r>
              <w:rPr>
                <w:rFonts w:hint="eastAsia" w:asciiTheme="minorEastAsia" w:hAnsiTheme="minorEastAsia" w:eastAsiaTheme="minorEastAsia"/>
                <w:sz w:val="18"/>
              </w:rPr>
              <w:t>定期喷洒除臭剂</w:t>
            </w:r>
            <w:r>
              <w:rPr>
                <w:rFonts w:asciiTheme="minorEastAsia" w:hAnsiTheme="minorEastAsia" w:eastAsiaTheme="minorEastAsia"/>
                <w:sz w:val="18"/>
              </w:rPr>
              <w:t>，去除效率</w:t>
            </w:r>
            <w:r>
              <w:rPr>
                <w:rFonts w:ascii="Times New Roman" w:hAnsiTheme="minorEastAsia" w:eastAsiaTheme="minorEastAsia"/>
                <w:sz w:val="18"/>
              </w:rPr>
              <w:t>可达到</w:t>
            </w:r>
            <w:r>
              <w:rPr>
                <w:rFonts w:hint="eastAsia" w:ascii="Times New Roman" w:hAnsi="Times New Roman" w:eastAsiaTheme="minorEastAsia"/>
                <w:sz w:val="18"/>
              </w:rPr>
              <w:t>6</w:t>
            </w:r>
            <w:r>
              <w:rPr>
                <w:rFonts w:ascii="Times New Roman" w:hAnsi="Times New Roman" w:eastAsiaTheme="minorEastAsia"/>
                <w:sz w:val="18"/>
              </w:rPr>
              <w:t>0%</w:t>
            </w:r>
            <w:r>
              <w:rPr>
                <w:rFonts w:asciiTheme="minorEastAsia" w:hAnsiTheme="minorEastAsia" w:eastAsiaTheme="minorEastAsia"/>
                <w:sz w:val="18"/>
              </w:rPr>
              <w:t>；污水处理站收集池加盖、沼液储存池覆膜等措施，可以有效避免恶臭气体的逸散。同时，喷洒除臭剂，并加强绿化。</w:t>
            </w:r>
            <w:r>
              <w:rPr>
                <w:rFonts w:hint="eastAsia" w:asciiTheme="minorEastAsia" w:hAnsiTheme="minorEastAsia" w:eastAsiaTheme="minorEastAsia"/>
                <w:sz w:val="18"/>
              </w:rPr>
              <w:t>饲料库粉尘经袋式除尘器处理后通过15m高排气筒达标排放。</w:t>
            </w:r>
          </w:p>
          <w:p>
            <w:pPr>
              <w:widowControl/>
              <w:jc w:val="left"/>
              <w:rPr>
                <w:rFonts w:ascii="Times New Roman" w:hAnsi="Times New Roman"/>
                <w:color w:val="000000"/>
                <w:kern w:val="0"/>
                <w:sz w:val="18"/>
                <w:szCs w:val="18"/>
              </w:rPr>
            </w:pPr>
            <w:r>
              <w:rPr>
                <w:rFonts w:ascii="Times New Roman" w:hAnsi="Times New Roman"/>
                <w:color w:val="000000"/>
                <w:kern w:val="0"/>
                <w:sz w:val="18"/>
                <w:szCs w:val="18"/>
              </w:rPr>
              <w:t>3.噪声污染防治措施：</w:t>
            </w:r>
            <w:r>
              <w:rPr>
                <w:rFonts w:ascii="Times New Roman" w:hAnsi="Times New Roman"/>
                <w:sz w:val="18"/>
              </w:rPr>
              <w:t>本项目噪声主要为猪叫声、猪舍降温配套负压机、粪污处理措施</w:t>
            </w:r>
            <w:r>
              <w:rPr>
                <w:rFonts w:hint="eastAsia" w:ascii="Times New Roman" w:hAnsi="Times New Roman"/>
                <w:sz w:val="18"/>
              </w:rPr>
              <w:t>，</w:t>
            </w:r>
            <w:r>
              <w:rPr>
                <w:rFonts w:ascii="Times New Roman" w:hAnsi="Times New Roman"/>
                <w:sz w:val="18"/>
              </w:rPr>
              <w:t>有机肥基料</w:t>
            </w:r>
            <w:r>
              <w:rPr>
                <w:rFonts w:hint="eastAsia" w:ascii="Times New Roman" w:hAnsi="Times New Roman"/>
                <w:sz w:val="18"/>
              </w:rPr>
              <w:t>生产</w:t>
            </w:r>
            <w:r>
              <w:rPr>
                <w:rFonts w:ascii="Times New Roman" w:hAnsi="Times New Roman"/>
                <w:sz w:val="18"/>
              </w:rPr>
              <w:t>设备运行时产生的噪声，根据类比调查，其源强为70-85db（A）。在采取基础减震及隔声等措施处理后，</w:t>
            </w:r>
            <w:r>
              <w:rPr>
                <w:rFonts w:hint="eastAsia" w:ascii="Times New Roman" w:hAnsi="Times New Roman"/>
                <w:sz w:val="18"/>
              </w:rPr>
              <w:t>场界</w:t>
            </w:r>
            <w:r>
              <w:rPr>
                <w:rFonts w:ascii="Times New Roman" w:hAnsi="Times New Roman"/>
                <w:sz w:val="18"/>
              </w:rPr>
              <w:t>能够达标排放。</w:t>
            </w:r>
          </w:p>
          <w:p>
            <w:pPr>
              <w:jc w:val="left"/>
              <w:rPr>
                <w:rFonts w:ascii="Times New Roman" w:hAnsi="Times New Roman"/>
                <w:color w:val="000000"/>
                <w:kern w:val="0"/>
                <w:sz w:val="18"/>
                <w:szCs w:val="18"/>
              </w:rPr>
            </w:pPr>
            <w:r>
              <w:rPr>
                <w:rFonts w:ascii="Times New Roman" w:hAnsi="Times New Roman"/>
                <w:color w:val="000000"/>
                <w:kern w:val="0"/>
                <w:sz w:val="18"/>
                <w:szCs w:val="18"/>
              </w:rPr>
              <w:t>4.固体废物污染防治措施：</w:t>
            </w:r>
            <w:r>
              <w:rPr>
                <w:rFonts w:ascii="Times New Roman" w:hAnsi="Times New Roman"/>
                <w:sz w:val="18"/>
              </w:rPr>
              <w:t>项目一般固体废物设置规范的临时堆存场地，采取防扬撒、防流失、防渗漏等三防措施；病死猪只每天定期有密闭罐车运至</w:t>
            </w:r>
            <w:r>
              <w:rPr>
                <w:rFonts w:hint="eastAsia" w:ascii="Times New Roman" w:hAnsi="Times New Roman"/>
                <w:bCs/>
                <w:sz w:val="18"/>
              </w:rPr>
              <w:t>送</w:t>
            </w:r>
            <w:r>
              <w:rPr>
                <w:rFonts w:hint="eastAsia" w:ascii="Times New Roman" w:hAnsi="Times New Roman"/>
                <w:sz w:val="18"/>
              </w:rPr>
              <w:t>唐河县无害化处理中心化制处理</w:t>
            </w:r>
            <w:r>
              <w:rPr>
                <w:rFonts w:ascii="Times New Roman" w:hAnsi="Times New Roman"/>
                <w:sz w:val="18"/>
              </w:rPr>
              <w:t>；危险废物按照处置规范要求集中收集后定期交由有资质单位进行处置。</w:t>
            </w:r>
          </w:p>
        </w:tc>
        <w:tc>
          <w:tcPr>
            <w:tcW w:w="1281" w:type="dxa"/>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本项目采取两次网上公示、张贴公示、走访村民、</w:t>
            </w:r>
            <w:r>
              <w:rPr>
                <w:rFonts w:hint="eastAsia" w:ascii="Times New Roman" w:hAnsi="Times New Roman"/>
                <w:color w:val="000000"/>
                <w:kern w:val="0"/>
                <w:sz w:val="18"/>
                <w:szCs w:val="18"/>
              </w:rPr>
              <w:t>登报</w:t>
            </w:r>
            <w:r>
              <w:rPr>
                <w:rFonts w:ascii="Times New Roman" w:hAnsi="Times New Roman"/>
                <w:color w:val="000000"/>
                <w:kern w:val="0"/>
                <w:sz w:val="18"/>
                <w:szCs w:val="18"/>
              </w:rPr>
              <w:t>等形式开展公众意见调查。结果显示， 被调查者均持支持态度，无反对意见</w:t>
            </w:r>
          </w:p>
        </w:tc>
      </w:tr>
    </w:tbl>
    <w:p/>
    <w:p/>
    <w:sectPr>
      <w:headerReference r:id="rId3" w:type="default"/>
      <w:pgSz w:w="16839" w:h="11907" w:orient="landscape"/>
      <w:pgMar w:top="1440" w:right="1080" w:bottom="1440" w:left="1080" w:header="851" w:footer="992" w:gutter="0"/>
      <w:cols w:space="425" w:num="1"/>
      <w:docGrid w:type="lines" w:linePitch="4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4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2CA5"/>
    <w:rsid w:val="00025361"/>
    <w:rsid w:val="00044A5C"/>
    <w:rsid w:val="0005101D"/>
    <w:rsid w:val="000B0494"/>
    <w:rsid w:val="000C20FB"/>
    <w:rsid w:val="000C40A1"/>
    <w:rsid w:val="000D3DE9"/>
    <w:rsid w:val="000F3FF3"/>
    <w:rsid w:val="00113A25"/>
    <w:rsid w:val="00115EE6"/>
    <w:rsid w:val="00125A03"/>
    <w:rsid w:val="001265C5"/>
    <w:rsid w:val="00146C66"/>
    <w:rsid w:val="00161D68"/>
    <w:rsid w:val="00174125"/>
    <w:rsid w:val="00181A75"/>
    <w:rsid w:val="001837CB"/>
    <w:rsid w:val="00193C9C"/>
    <w:rsid w:val="001A04C0"/>
    <w:rsid w:val="001A171A"/>
    <w:rsid w:val="001A445E"/>
    <w:rsid w:val="001D3FF2"/>
    <w:rsid w:val="001E08C2"/>
    <w:rsid w:val="00211620"/>
    <w:rsid w:val="0021192C"/>
    <w:rsid w:val="00267A54"/>
    <w:rsid w:val="002854BA"/>
    <w:rsid w:val="002D06FA"/>
    <w:rsid w:val="002F476E"/>
    <w:rsid w:val="002F5624"/>
    <w:rsid w:val="003006B5"/>
    <w:rsid w:val="00302419"/>
    <w:rsid w:val="003037F5"/>
    <w:rsid w:val="00346509"/>
    <w:rsid w:val="00350245"/>
    <w:rsid w:val="003633D2"/>
    <w:rsid w:val="0039064D"/>
    <w:rsid w:val="00392A25"/>
    <w:rsid w:val="003A13B5"/>
    <w:rsid w:val="003A1B70"/>
    <w:rsid w:val="003B2CA5"/>
    <w:rsid w:val="003B51D0"/>
    <w:rsid w:val="00402F8C"/>
    <w:rsid w:val="00411895"/>
    <w:rsid w:val="00446963"/>
    <w:rsid w:val="00462D47"/>
    <w:rsid w:val="00464FC2"/>
    <w:rsid w:val="00467C6A"/>
    <w:rsid w:val="004C47C2"/>
    <w:rsid w:val="004D6026"/>
    <w:rsid w:val="00501A58"/>
    <w:rsid w:val="00572872"/>
    <w:rsid w:val="00580018"/>
    <w:rsid w:val="00592308"/>
    <w:rsid w:val="005B5987"/>
    <w:rsid w:val="005B7CCE"/>
    <w:rsid w:val="005E4944"/>
    <w:rsid w:val="005E5673"/>
    <w:rsid w:val="005F13F4"/>
    <w:rsid w:val="006078A6"/>
    <w:rsid w:val="006425B3"/>
    <w:rsid w:val="00650307"/>
    <w:rsid w:val="00657005"/>
    <w:rsid w:val="00672ADE"/>
    <w:rsid w:val="0067732E"/>
    <w:rsid w:val="006B5306"/>
    <w:rsid w:val="006C1E38"/>
    <w:rsid w:val="006F0A17"/>
    <w:rsid w:val="006F1A9C"/>
    <w:rsid w:val="00745076"/>
    <w:rsid w:val="00775C94"/>
    <w:rsid w:val="00791C36"/>
    <w:rsid w:val="007A67B9"/>
    <w:rsid w:val="007C1F0D"/>
    <w:rsid w:val="007D43F3"/>
    <w:rsid w:val="007D5E16"/>
    <w:rsid w:val="007E2743"/>
    <w:rsid w:val="007E636A"/>
    <w:rsid w:val="0080031F"/>
    <w:rsid w:val="00803001"/>
    <w:rsid w:val="00816275"/>
    <w:rsid w:val="00826D35"/>
    <w:rsid w:val="00844107"/>
    <w:rsid w:val="008755BD"/>
    <w:rsid w:val="008B481B"/>
    <w:rsid w:val="008C22FB"/>
    <w:rsid w:val="008F2CE0"/>
    <w:rsid w:val="00910D01"/>
    <w:rsid w:val="00920F3A"/>
    <w:rsid w:val="00926A8D"/>
    <w:rsid w:val="0093717B"/>
    <w:rsid w:val="009469B6"/>
    <w:rsid w:val="009640C0"/>
    <w:rsid w:val="009659B3"/>
    <w:rsid w:val="00974765"/>
    <w:rsid w:val="009D4D44"/>
    <w:rsid w:val="009E1F2A"/>
    <w:rsid w:val="00A14BA0"/>
    <w:rsid w:val="00A1702F"/>
    <w:rsid w:val="00A22F8E"/>
    <w:rsid w:val="00A312AE"/>
    <w:rsid w:val="00A44169"/>
    <w:rsid w:val="00A63CD3"/>
    <w:rsid w:val="00A71740"/>
    <w:rsid w:val="00AF610A"/>
    <w:rsid w:val="00B146EE"/>
    <w:rsid w:val="00B3060F"/>
    <w:rsid w:val="00B41A4A"/>
    <w:rsid w:val="00B52429"/>
    <w:rsid w:val="00B5344C"/>
    <w:rsid w:val="00B547E1"/>
    <w:rsid w:val="00B569A8"/>
    <w:rsid w:val="00B71767"/>
    <w:rsid w:val="00B75F6F"/>
    <w:rsid w:val="00BA2104"/>
    <w:rsid w:val="00BB097D"/>
    <w:rsid w:val="00BB244C"/>
    <w:rsid w:val="00BC55A8"/>
    <w:rsid w:val="00BD41CE"/>
    <w:rsid w:val="00BE1708"/>
    <w:rsid w:val="00C14320"/>
    <w:rsid w:val="00C30035"/>
    <w:rsid w:val="00C34CFB"/>
    <w:rsid w:val="00CB639F"/>
    <w:rsid w:val="00CC445F"/>
    <w:rsid w:val="00D10446"/>
    <w:rsid w:val="00D357D8"/>
    <w:rsid w:val="00D45A6B"/>
    <w:rsid w:val="00D4743E"/>
    <w:rsid w:val="00D628FE"/>
    <w:rsid w:val="00DB01D9"/>
    <w:rsid w:val="00DE1F76"/>
    <w:rsid w:val="00DF7B79"/>
    <w:rsid w:val="00E12AAB"/>
    <w:rsid w:val="00E15CB0"/>
    <w:rsid w:val="00E41448"/>
    <w:rsid w:val="00E66595"/>
    <w:rsid w:val="00EA105B"/>
    <w:rsid w:val="00EB5786"/>
    <w:rsid w:val="00ED2523"/>
    <w:rsid w:val="00ED276F"/>
    <w:rsid w:val="00F0056A"/>
    <w:rsid w:val="00F11522"/>
    <w:rsid w:val="00F274D2"/>
    <w:rsid w:val="00F27C91"/>
    <w:rsid w:val="00F41BBF"/>
    <w:rsid w:val="00F42E0A"/>
    <w:rsid w:val="00F54C92"/>
    <w:rsid w:val="00F87AE6"/>
    <w:rsid w:val="00FA5982"/>
    <w:rsid w:val="00FD31AC"/>
    <w:rsid w:val="00FE381F"/>
    <w:rsid w:val="00FE7918"/>
    <w:rsid w:val="0649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qFormat/>
    <w:uiPriority w:val="99"/>
    <w:rPr>
      <w:rFonts w:ascii="Calibri" w:hAnsi="Calibri" w:eastAsia="宋体" w:cs="Times New Roman"/>
      <w:sz w:val="18"/>
      <w:szCs w:val="18"/>
    </w:rPr>
  </w:style>
  <w:style w:type="character" w:customStyle="1" w:styleId="8">
    <w:name w:val="页脚 Char"/>
    <w:basedOn w:val="6"/>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158</Words>
  <Characters>905</Characters>
  <Lines>7</Lines>
  <Paragraphs>2</Paragraphs>
  <TotalTime>51</TotalTime>
  <ScaleCrop>false</ScaleCrop>
  <LinksUpToDate>false</LinksUpToDate>
  <CharactersWithSpaces>1061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2019-06-19T09:38:00Z</dcterms:created>
  <dc:creator>lenovo01</dc:creator>
  <cp:lastModifiedBy>Administrator</cp:lastModifiedBy>
  <dcterms:modified xsi:type="dcterms:W3CDTF">2020-11-04T01:07:26Z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