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0"/>
          <w:szCs w:val="30"/>
        </w:rPr>
      </w:pPr>
      <w:bookmarkStart w:id="0" w:name="_GoBack"/>
      <w:bookmarkEnd w:id="0"/>
      <w:r>
        <w:rPr>
          <w:rFonts w:hint="eastAsia" w:ascii="宋体" w:hAnsi="宋体" w:eastAsia="宋体" w:cs="宋体"/>
          <w:sz w:val="30"/>
          <w:szCs w:val="30"/>
        </w:rPr>
        <w:t>拟审批的建设项目环境影响</w:t>
      </w:r>
      <w:r>
        <w:rPr>
          <w:rFonts w:hint="eastAsia" w:ascii="宋体" w:hAnsi="宋体" w:eastAsia="宋体" w:cs="宋体"/>
          <w:sz w:val="30"/>
          <w:szCs w:val="30"/>
          <w:lang w:eastAsia="zh-CN"/>
        </w:rPr>
        <w:t>报告书</w:t>
      </w:r>
    </w:p>
    <w:tbl>
      <w:tblPr>
        <w:tblStyle w:val="12"/>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60"/>
        <w:gridCol w:w="885"/>
        <w:gridCol w:w="825"/>
        <w:gridCol w:w="1200"/>
        <w:gridCol w:w="2973"/>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60" w:type="dxa"/>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885" w:type="dxa"/>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825" w:type="dxa"/>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1200" w:type="dxa"/>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环境影响评价机构</w:t>
            </w:r>
          </w:p>
        </w:tc>
        <w:tc>
          <w:tcPr>
            <w:tcW w:w="2973" w:type="dxa"/>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建设项目概况</w:t>
            </w:r>
          </w:p>
        </w:tc>
        <w:tc>
          <w:tcPr>
            <w:tcW w:w="7062" w:type="dxa"/>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70"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860"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唐河县鸿瑞牧业开发有限公司年出栏2.4 万头育肥猪养殖项目</w:t>
            </w:r>
          </w:p>
        </w:tc>
        <w:tc>
          <w:tcPr>
            <w:tcW w:w="885"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南阳市</w:t>
            </w:r>
            <w:r>
              <w:rPr>
                <w:rFonts w:hint="default" w:ascii="Times New Roman" w:hAnsi="Times New Roman" w:cs="Times New Roman"/>
                <w:sz w:val="21"/>
                <w:szCs w:val="21"/>
              </w:rPr>
              <w:t>唐河县桐河乡刘伙村</w:t>
            </w:r>
          </w:p>
        </w:tc>
        <w:tc>
          <w:tcPr>
            <w:tcW w:w="825"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唐河县鸿瑞牧业开发有限公司</w:t>
            </w:r>
          </w:p>
        </w:tc>
        <w:tc>
          <w:tcPr>
            <w:tcW w:w="1200"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河南晨鹤环境科技有限公司</w:t>
            </w:r>
          </w:p>
        </w:tc>
        <w:tc>
          <w:tcPr>
            <w:tcW w:w="2973" w:type="dxa"/>
            <w:vAlign w:val="center"/>
          </w:tcPr>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主要构筑物：项目拟新建育肥猪舍26栋，建成后全厂共计猪舍40栋。</w:t>
            </w:r>
          </w:p>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eastAsia="zh-CN"/>
              </w:rPr>
            </w:pPr>
            <w:r>
              <w:rPr>
                <w:rFonts w:hint="eastAsia" w:ascii="Times New Roman" w:hAnsi="Times New Roman"/>
                <w:kern w:val="0"/>
                <w:sz w:val="24"/>
                <w:szCs w:val="24"/>
                <w:lang w:eastAsia="zh-CN"/>
              </w:rPr>
              <w:t>建设规模：</w:t>
            </w:r>
            <w:r>
              <w:rPr>
                <w:rFonts w:hint="eastAsia" w:ascii="Times New Roman" w:hAnsi="Times New Roman"/>
                <w:kern w:val="0"/>
                <w:sz w:val="24"/>
                <w:szCs w:val="24"/>
                <w:lang w:val="en-US" w:eastAsia="zh-CN"/>
              </w:rPr>
              <w:t>建成后年存栏育肥猪1.2万头，年出栏生猪2.4万头</w:t>
            </w:r>
            <w:r>
              <w:rPr>
                <w:rFonts w:hint="eastAsia" w:ascii="Times New Roman" w:hAnsi="Times New Roman"/>
                <w:kern w:val="0"/>
                <w:sz w:val="24"/>
                <w:szCs w:val="24"/>
                <w:lang w:eastAsia="zh-CN"/>
              </w:rPr>
              <w:t>。</w:t>
            </w:r>
          </w:p>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eastAsia="zh-CN"/>
              </w:rPr>
            </w:pPr>
            <w:r>
              <w:rPr>
                <w:rFonts w:hint="eastAsia" w:ascii="Times New Roman" w:hAnsi="Times New Roman"/>
                <w:kern w:val="0"/>
                <w:sz w:val="24"/>
                <w:szCs w:val="24"/>
                <w:lang w:eastAsia="zh-CN"/>
              </w:rPr>
              <w:t>原辅材料：玉米、麦麸、豆粕、除臭剂、疫苗、消毒剂、脱硫剂等。</w:t>
            </w:r>
          </w:p>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eastAsia="zh-CN"/>
              </w:rPr>
            </w:pPr>
            <w:r>
              <w:rPr>
                <w:rFonts w:hint="eastAsia" w:ascii="Times New Roman" w:hAnsi="Times New Roman"/>
                <w:kern w:val="0"/>
                <w:sz w:val="24"/>
                <w:szCs w:val="24"/>
                <w:lang w:eastAsia="zh-CN"/>
              </w:rPr>
              <w:t>生产工艺：</w:t>
            </w:r>
            <w:r>
              <w:rPr>
                <w:rFonts w:hint="eastAsia" w:ascii="Times New Roman" w:hAnsi="Times New Roman"/>
                <w:kern w:val="0"/>
                <w:sz w:val="24"/>
                <w:szCs w:val="24"/>
                <w:lang w:val="en-US" w:eastAsia="zh-CN"/>
              </w:rPr>
              <w:t>育肥猪</w:t>
            </w:r>
            <w:r>
              <w:rPr>
                <w:rFonts w:hint="eastAsia" w:ascii="Times New Roman" w:hAnsi="Times New Roman"/>
                <w:kern w:val="0"/>
                <w:sz w:val="24"/>
                <w:szCs w:val="24"/>
                <w:lang w:eastAsia="zh-CN"/>
              </w:rPr>
              <w:t>→生长育肥→检验称重→出售；</w:t>
            </w:r>
          </w:p>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kern w:val="0"/>
                <w:sz w:val="24"/>
                <w:szCs w:val="24"/>
                <w:lang w:eastAsia="zh-CN"/>
              </w:rPr>
              <w:t>清粪方法采用经环保部认定的清粪工艺（环办函【2015】425号）</w:t>
            </w:r>
          </w:p>
        </w:tc>
        <w:tc>
          <w:tcPr>
            <w:tcW w:w="7062" w:type="dxa"/>
            <w:vAlign w:val="center"/>
          </w:tcPr>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1.废水污染防治措施：本项目采用环保部认定的清粪工艺，项目废水经“固液分离+全封闭厌氧塘”处理后，沼气火炬燃烧，沼液暂存于沼液储存池内施肥季节用于周围农田施肥，非施肥季节在沼液储存池中储存是可行的，能够做到沼气沼液沼渣的完全综合利用。</w:t>
            </w:r>
          </w:p>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2.大气环境污染防治措施：本项目在猪舍采用定期冲圈、定期喷洒除臭剂，恶臭去除效率60%；固粪处理区采用定期喷洒除臭剂，去除效率可达到60%；污水处理站收集池加盖、沼液储存池覆膜等措施，可以有效避免恶臭气体的逸散。同时，喷洒除臭剂，并加强绿化。</w:t>
            </w:r>
          </w:p>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3.噪声污染防治措施：本项目噪声主要为猪叫声、猪舍降温配套负压机、粪污处理措施，有机肥基料生产设备运行时产生的噪声，根据类比调查，其源强为70-85db（A）。在采取基础减震及隔声等措施处理后，场界能够达标排放。</w:t>
            </w:r>
          </w:p>
          <w:p>
            <w:pPr>
              <w:keepNext w:val="0"/>
              <w:keepLines w:val="0"/>
              <w:pageBreakBefore w:val="0"/>
              <w:widowControl w:val="0"/>
              <w:kinsoku/>
              <w:wordWrap/>
              <w:overflowPunct/>
              <w:topLinePunct w:val="0"/>
              <w:bidi w:val="0"/>
              <w:spacing w:line="240" w:lineRule="auto"/>
              <w:jc w:val="left"/>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4.固体废物污染防治措施：项目一般固体废物设置规范的临时堆存场地，采取防扬撒、防流失、防渗漏等三防措施；病死猪只每天定期有密闭罐车运至送唐河县无害化处理中心化制处理；危险废物按照处置规范要求集中收集后定期交由有资质单位进行处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lang w:val="en-US" w:eastAsia="zh-CN"/>
              </w:rPr>
            </w:pPr>
            <w:r>
              <w:rPr>
                <w:rFonts w:hint="eastAsia"/>
                <w:lang w:val="en-US" w:eastAsia="zh-CN"/>
              </w:rPr>
              <w:t>5.污染物总量控制指标：SO</w:t>
            </w:r>
            <w:r>
              <w:rPr>
                <w:rFonts w:hint="eastAsia"/>
                <w:vertAlign w:val="subscript"/>
                <w:lang w:val="en-US" w:eastAsia="zh-CN"/>
              </w:rPr>
              <w:t>2</w:t>
            </w:r>
            <w:r>
              <w:rPr>
                <w:rFonts w:hint="eastAsia"/>
                <w:lang w:val="en-US" w:eastAsia="zh-CN"/>
              </w:rPr>
              <w:t>：0.021，NO</w:t>
            </w:r>
            <w:r>
              <w:rPr>
                <w:rFonts w:hint="eastAsia"/>
                <w:vertAlign w:val="subscript"/>
                <w:lang w:val="en-US" w:eastAsia="zh-CN"/>
              </w:rPr>
              <w:t>x</w:t>
            </w:r>
            <w:r>
              <w:rPr>
                <w:rFonts w:hint="eastAsia"/>
                <w:lang w:val="en-US" w:eastAsia="zh-CN"/>
              </w:rPr>
              <w:t>:0.520。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lang w:val="en-US" w:eastAsia="zh-CN"/>
              </w:rPr>
            </w:pP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50831"/>
    <w:rsid w:val="000714DA"/>
    <w:rsid w:val="000D48E2"/>
    <w:rsid w:val="000D4B2B"/>
    <w:rsid w:val="000F171C"/>
    <w:rsid w:val="001208B1"/>
    <w:rsid w:val="0015630B"/>
    <w:rsid w:val="002D5C69"/>
    <w:rsid w:val="002F1852"/>
    <w:rsid w:val="003D187D"/>
    <w:rsid w:val="00430897"/>
    <w:rsid w:val="00446175"/>
    <w:rsid w:val="004F49C2"/>
    <w:rsid w:val="00540112"/>
    <w:rsid w:val="005812C7"/>
    <w:rsid w:val="005962C5"/>
    <w:rsid w:val="005B42C4"/>
    <w:rsid w:val="005F071B"/>
    <w:rsid w:val="0063182C"/>
    <w:rsid w:val="0068177A"/>
    <w:rsid w:val="006D43A1"/>
    <w:rsid w:val="00803B3A"/>
    <w:rsid w:val="008A5865"/>
    <w:rsid w:val="009443A6"/>
    <w:rsid w:val="009C4E45"/>
    <w:rsid w:val="00BD0541"/>
    <w:rsid w:val="00C62004"/>
    <w:rsid w:val="00CD3119"/>
    <w:rsid w:val="00D432EC"/>
    <w:rsid w:val="00D647E3"/>
    <w:rsid w:val="00DE438D"/>
    <w:rsid w:val="00E054C2"/>
    <w:rsid w:val="00E172FF"/>
    <w:rsid w:val="00F10A3A"/>
    <w:rsid w:val="00F75784"/>
    <w:rsid w:val="00F97AEF"/>
    <w:rsid w:val="00FE0A23"/>
    <w:rsid w:val="02501308"/>
    <w:rsid w:val="028C4331"/>
    <w:rsid w:val="030E6BBE"/>
    <w:rsid w:val="03D06328"/>
    <w:rsid w:val="04392C4B"/>
    <w:rsid w:val="05471363"/>
    <w:rsid w:val="055D4D8E"/>
    <w:rsid w:val="056F4321"/>
    <w:rsid w:val="058561A0"/>
    <w:rsid w:val="06872E80"/>
    <w:rsid w:val="06E972B1"/>
    <w:rsid w:val="070F4A15"/>
    <w:rsid w:val="08304CC1"/>
    <w:rsid w:val="089538FC"/>
    <w:rsid w:val="09CC72FD"/>
    <w:rsid w:val="0A2D3FCA"/>
    <w:rsid w:val="0A4B3C8D"/>
    <w:rsid w:val="0A5B3432"/>
    <w:rsid w:val="0A7B104A"/>
    <w:rsid w:val="0AFE2C70"/>
    <w:rsid w:val="0B241EE7"/>
    <w:rsid w:val="0B3F4264"/>
    <w:rsid w:val="0B910113"/>
    <w:rsid w:val="0C307861"/>
    <w:rsid w:val="0C47125C"/>
    <w:rsid w:val="0CE74F57"/>
    <w:rsid w:val="0D703E29"/>
    <w:rsid w:val="0DA8333A"/>
    <w:rsid w:val="0E352207"/>
    <w:rsid w:val="0EF60309"/>
    <w:rsid w:val="0FF031F7"/>
    <w:rsid w:val="104F1A61"/>
    <w:rsid w:val="104F4860"/>
    <w:rsid w:val="10BC114E"/>
    <w:rsid w:val="10FD15CC"/>
    <w:rsid w:val="110D5481"/>
    <w:rsid w:val="12E67383"/>
    <w:rsid w:val="12F36D34"/>
    <w:rsid w:val="12F65067"/>
    <w:rsid w:val="1338201C"/>
    <w:rsid w:val="13493762"/>
    <w:rsid w:val="143D1F71"/>
    <w:rsid w:val="14AA6902"/>
    <w:rsid w:val="15191DFD"/>
    <w:rsid w:val="1846568C"/>
    <w:rsid w:val="191841A8"/>
    <w:rsid w:val="19730E47"/>
    <w:rsid w:val="1A0E7A51"/>
    <w:rsid w:val="1A823125"/>
    <w:rsid w:val="1AB54F2E"/>
    <w:rsid w:val="1ADA7036"/>
    <w:rsid w:val="1ADB4631"/>
    <w:rsid w:val="1AFC67DA"/>
    <w:rsid w:val="1C9B7533"/>
    <w:rsid w:val="1CA70860"/>
    <w:rsid w:val="1CB12EC4"/>
    <w:rsid w:val="1CEB7DE1"/>
    <w:rsid w:val="1F5A3FDB"/>
    <w:rsid w:val="1F8C2DDA"/>
    <w:rsid w:val="1FED3B54"/>
    <w:rsid w:val="20B516FF"/>
    <w:rsid w:val="24035330"/>
    <w:rsid w:val="245D6ACA"/>
    <w:rsid w:val="25347F2E"/>
    <w:rsid w:val="25955E9B"/>
    <w:rsid w:val="26F96F50"/>
    <w:rsid w:val="296D63A7"/>
    <w:rsid w:val="2B9A09F1"/>
    <w:rsid w:val="2BB95237"/>
    <w:rsid w:val="2C2546B8"/>
    <w:rsid w:val="2C9C0421"/>
    <w:rsid w:val="2D7F37EC"/>
    <w:rsid w:val="2D8C4394"/>
    <w:rsid w:val="2E6A2AE9"/>
    <w:rsid w:val="2EE854DF"/>
    <w:rsid w:val="31C25050"/>
    <w:rsid w:val="323577BD"/>
    <w:rsid w:val="32674242"/>
    <w:rsid w:val="33B365C0"/>
    <w:rsid w:val="350032C9"/>
    <w:rsid w:val="3527377E"/>
    <w:rsid w:val="36FD424E"/>
    <w:rsid w:val="37075F83"/>
    <w:rsid w:val="374F2450"/>
    <w:rsid w:val="375453EF"/>
    <w:rsid w:val="3834059C"/>
    <w:rsid w:val="398A673A"/>
    <w:rsid w:val="3A2410DE"/>
    <w:rsid w:val="3A9F767F"/>
    <w:rsid w:val="3ADE168E"/>
    <w:rsid w:val="3C561DEA"/>
    <w:rsid w:val="3D85592C"/>
    <w:rsid w:val="3F42224B"/>
    <w:rsid w:val="3F64197B"/>
    <w:rsid w:val="3FFE0C63"/>
    <w:rsid w:val="4123067F"/>
    <w:rsid w:val="41AE3EB7"/>
    <w:rsid w:val="42FB71CD"/>
    <w:rsid w:val="43296029"/>
    <w:rsid w:val="439D411F"/>
    <w:rsid w:val="440820E9"/>
    <w:rsid w:val="452B25FD"/>
    <w:rsid w:val="455E7496"/>
    <w:rsid w:val="463E23FA"/>
    <w:rsid w:val="46624E59"/>
    <w:rsid w:val="46D050B7"/>
    <w:rsid w:val="46EA1DD9"/>
    <w:rsid w:val="4878060E"/>
    <w:rsid w:val="48DC3DDB"/>
    <w:rsid w:val="49092027"/>
    <w:rsid w:val="495B0D57"/>
    <w:rsid w:val="496467C9"/>
    <w:rsid w:val="49845261"/>
    <w:rsid w:val="4C101C89"/>
    <w:rsid w:val="4CA867EF"/>
    <w:rsid w:val="4D2D5BCE"/>
    <w:rsid w:val="4E3E5A67"/>
    <w:rsid w:val="4EA71046"/>
    <w:rsid w:val="508B29A9"/>
    <w:rsid w:val="50D52567"/>
    <w:rsid w:val="514A556A"/>
    <w:rsid w:val="52507893"/>
    <w:rsid w:val="52726BDA"/>
    <w:rsid w:val="528415A5"/>
    <w:rsid w:val="537C5348"/>
    <w:rsid w:val="53F628D3"/>
    <w:rsid w:val="54450BBE"/>
    <w:rsid w:val="547E5C52"/>
    <w:rsid w:val="54D12EC8"/>
    <w:rsid w:val="54EA5FBE"/>
    <w:rsid w:val="54F02AC3"/>
    <w:rsid w:val="566C1D3B"/>
    <w:rsid w:val="56887D5D"/>
    <w:rsid w:val="56EE5B2B"/>
    <w:rsid w:val="56FC00A5"/>
    <w:rsid w:val="5747452A"/>
    <w:rsid w:val="57C0108B"/>
    <w:rsid w:val="58A74769"/>
    <w:rsid w:val="591F7599"/>
    <w:rsid w:val="5A93427A"/>
    <w:rsid w:val="5B9E53F6"/>
    <w:rsid w:val="5BFA1515"/>
    <w:rsid w:val="5C23691B"/>
    <w:rsid w:val="5CB41037"/>
    <w:rsid w:val="5D122B4A"/>
    <w:rsid w:val="5E31520C"/>
    <w:rsid w:val="60392624"/>
    <w:rsid w:val="611A395A"/>
    <w:rsid w:val="61A77517"/>
    <w:rsid w:val="648E1D81"/>
    <w:rsid w:val="649F12EB"/>
    <w:rsid w:val="64D27D69"/>
    <w:rsid w:val="64FA39F2"/>
    <w:rsid w:val="65195E61"/>
    <w:rsid w:val="6521746F"/>
    <w:rsid w:val="65A14E6C"/>
    <w:rsid w:val="67E01E08"/>
    <w:rsid w:val="687958DF"/>
    <w:rsid w:val="691B14F7"/>
    <w:rsid w:val="69AE2857"/>
    <w:rsid w:val="6A992F34"/>
    <w:rsid w:val="6B7C022F"/>
    <w:rsid w:val="6CDD0CB6"/>
    <w:rsid w:val="6E464130"/>
    <w:rsid w:val="6EBF77DC"/>
    <w:rsid w:val="6F4B6B2F"/>
    <w:rsid w:val="6FBC6079"/>
    <w:rsid w:val="71820A80"/>
    <w:rsid w:val="71C64EA4"/>
    <w:rsid w:val="7251261D"/>
    <w:rsid w:val="73405C07"/>
    <w:rsid w:val="73A0562E"/>
    <w:rsid w:val="749142B9"/>
    <w:rsid w:val="75A50FCC"/>
    <w:rsid w:val="75D31A00"/>
    <w:rsid w:val="75FB270D"/>
    <w:rsid w:val="76977CE1"/>
    <w:rsid w:val="76D56AF4"/>
    <w:rsid w:val="76E22A71"/>
    <w:rsid w:val="77793341"/>
    <w:rsid w:val="792A0C56"/>
    <w:rsid w:val="79775BE4"/>
    <w:rsid w:val="798572CC"/>
    <w:rsid w:val="7C093469"/>
    <w:rsid w:val="7C147853"/>
    <w:rsid w:val="7CA2747D"/>
    <w:rsid w:val="7CD60C66"/>
    <w:rsid w:val="7D2F27D4"/>
    <w:rsid w:val="7DD440F6"/>
    <w:rsid w:val="7E29676B"/>
    <w:rsid w:val="7F0D461C"/>
    <w:rsid w:val="7FD94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after="120" w:line="240" w:lineRule="auto"/>
      <w:ind w:left="420" w:leftChars="200" w:firstLine="420"/>
    </w:pPr>
    <w:rPr>
      <w:rFonts w:hint="default" w:ascii="Times New Roman" w:hAnsi="Times New Roman" w:eastAsia="宋体"/>
      <w:sz w:val="21"/>
    </w:rPr>
  </w:style>
  <w:style w:type="paragraph" w:styleId="3">
    <w:name w:val="Body Text"/>
    <w:basedOn w:val="1"/>
    <w:qFormat/>
    <w:uiPriority w:val="0"/>
    <w:pPr>
      <w:spacing w:after="120" w:afterLines="0"/>
    </w:pPr>
  </w:style>
  <w:style w:type="paragraph" w:styleId="4">
    <w:name w:val="Body Text Indent"/>
    <w:basedOn w:val="1"/>
    <w:qFormat/>
    <w:uiPriority w:val="0"/>
    <w:pPr>
      <w:spacing w:line="360" w:lineRule="auto"/>
      <w:ind w:firstLine="560" w:firstLineChars="200"/>
    </w:pPr>
    <w:rPr>
      <w:rFonts w:ascii="宋体" w:hAnsi="宋体"/>
      <w:color w:val="FF0000"/>
      <w:sz w:val="28"/>
    </w:rPr>
  </w:style>
  <w:style w:type="paragraph" w:styleId="5">
    <w:name w:val="Block Text"/>
    <w:basedOn w:val="1"/>
    <w:next w:val="1"/>
    <w:qFormat/>
    <w:uiPriority w:val="0"/>
    <w:pPr>
      <w:autoSpaceDE w:val="0"/>
      <w:autoSpaceDN w:val="0"/>
      <w:adjustRightInd w:val="0"/>
      <w:spacing w:before="1" w:line="537" w:lineRule="exact"/>
      <w:ind w:left="88" w:right="6"/>
    </w:pPr>
    <w:rPr>
      <w:kern w:val="0"/>
      <w:sz w:val="28"/>
      <w:szCs w:val="20"/>
    </w:rPr>
  </w:style>
  <w:style w:type="paragraph" w:styleId="6">
    <w:name w:val="Plain Text"/>
    <w:basedOn w:val="1"/>
    <w:unhideWhenUsed/>
    <w:qFormat/>
    <w:uiPriority w:val="0"/>
    <w:rPr>
      <w:rFonts w:ascii="宋体" w:hAnsi="Courier New" w:cs="Courier New"/>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afterLines="0"/>
      <w:ind w:left="420" w:leftChars="200"/>
    </w:pPr>
    <w:rPr>
      <w:sz w:val="16"/>
      <w:szCs w:val="16"/>
    </w:rPr>
  </w:style>
  <w:style w:type="paragraph" w:styleId="10">
    <w:name w:val="Body Text 2"/>
    <w:basedOn w:val="1"/>
    <w:unhideWhenUsed/>
    <w:qFormat/>
    <w:uiPriority w:val="0"/>
    <w:pPr>
      <w:spacing w:after="120" w:afterLines="0" w:line="480" w:lineRule="auto"/>
    </w:pPr>
    <w:rPr>
      <w:rFonts w:ascii="Calibri" w:hAnsi="Calibri"/>
      <w:kern w:val="0"/>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0"/>
    <w:rPr>
      <w:kern w:val="2"/>
      <w:sz w:val="18"/>
      <w:szCs w:val="18"/>
    </w:rPr>
  </w:style>
  <w:style w:type="character" w:customStyle="1" w:styleId="15">
    <w:name w:val="页脚 Char"/>
    <w:basedOn w:val="13"/>
    <w:link w:val="7"/>
    <w:qFormat/>
    <w:uiPriority w:val="0"/>
    <w:rPr>
      <w:kern w:val="2"/>
      <w:sz w:val="18"/>
      <w:szCs w:val="18"/>
    </w:rPr>
  </w:style>
  <w:style w:type="character" w:customStyle="1" w:styleId="16">
    <w:name w:val="书正文 Char"/>
    <w:link w:val="17"/>
    <w:qFormat/>
    <w:uiPriority w:val="0"/>
    <w:rPr>
      <w:rFonts w:hAnsi="宋体"/>
      <w:kern w:val="2"/>
      <w:sz w:val="24"/>
      <w:szCs w:val="28"/>
    </w:rPr>
  </w:style>
  <w:style w:type="paragraph" w:customStyle="1" w:styleId="17">
    <w:name w:val="书正文"/>
    <w:basedOn w:val="1"/>
    <w:link w:val="16"/>
    <w:qFormat/>
    <w:uiPriority w:val="0"/>
    <w:pPr>
      <w:spacing w:line="360" w:lineRule="auto"/>
      <w:ind w:firstLine="200" w:firstLineChars="200"/>
    </w:pPr>
    <w:rPr>
      <w:rFonts w:hAnsi="宋体"/>
      <w:sz w:val="24"/>
      <w:szCs w:val="28"/>
    </w:rPr>
  </w:style>
  <w:style w:type="character" w:customStyle="1" w:styleId="18">
    <w:name w:val="Char Char Char Char1"/>
    <w:link w:val="19"/>
    <w:qFormat/>
    <w:uiPriority w:val="0"/>
    <w:rPr>
      <w:rFonts w:ascii="宋体" w:hAnsi="宋体" w:eastAsia="宋体" w:cs="宋体"/>
      <w:kern w:val="2"/>
      <w:sz w:val="24"/>
      <w:szCs w:val="24"/>
    </w:rPr>
  </w:style>
  <w:style w:type="paragraph" w:customStyle="1" w:styleId="19">
    <w:name w:val="Char Char Char"/>
    <w:basedOn w:val="1"/>
    <w:link w:val="18"/>
    <w:qFormat/>
    <w:uiPriority w:val="0"/>
    <w:pPr>
      <w:spacing w:line="360" w:lineRule="auto"/>
      <w:ind w:firstLine="200" w:firstLineChars="200"/>
    </w:pPr>
    <w:rPr>
      <w:rFonts w:ascii="宋体" w:hAnsi="宋体" w:eastAsia="宋体" w:cs="宋体"/>
      <w:sz w:val="24"/>
    </w:rPr>
  </w:style>
  <w:style w:type="paragraph" w:customStyle="1" w:styleId="20">
    <w:name w:val="List Paragraph"/>
    <w:basedOn w:val="1"/>
    <w:qFormat/>
    <w:uiPriority w:val="0"/>
    <w:pPr>
      <w:ind w:firstLine="420" w:firstLineChars="200"/>
    </w:pPr>
    <w:rPr>
      <w:rFonts w:ascii="Calibri" w:hAnsi="Calibri" w:eastAsia="宋体" w:cs="Times New Roman"/>
      <w:szCs w:val="22"/>
    </w:rPr>
  </w:style>
  <w:style w:type="paragraph" w:customStyle="1" w:styleId="21">
    <w:name w:val="段落"/>
    <w:basedOn w:val="6"/>
    <w:qFormat/>
    <w:uiPriority w:val="0"/>
    <w:pPr>
      <w:spacing w:line="480" w:lineRule="exact"/>
      <w:ind w:firstLine="578"/>
    </w:pPr>
    <w:rPr>
      <w:rFonts w:cs="Times New Roman"/>
      <w:kern w:val="0"/>
    </w:rPr>
  </w:style>
  <w:style w:type="paragraph" w:customStyle="1" w:styleId="22">
    <w:name w:val="5文章(治)"/>
    <w:basedOn w:val="1"/>
    <w:qFormat/>
    <w:uiPriority w:val="0"/>
    <w:pPr>
      <w:spacing w:line="360" w:lineRule="auto"/>
      <w:ind w:firstLine="560" w:firstLineChars="200"/>
    </w:pPr>
    <w:rPr>
      <w:color w:val="000000"/>
      <w:sz w:val="24"/>
      <w:szCs w:val="20"/>
    </w:rPr>
  </w:style>
  <w:style w:type="paragraph" w:customStyle="1" w:styleId="23">
    <w:name w:val="样式 小四 黑色 行距: 固定值 26 磅"/>
    <w:basedOn w:val="1"/>
    <w:qFormat/>
    <w:uiPriority w:val="0"/>
    <w:pPr>
      <w:spacing w:line="520" w:lineRule="exact"/>
      <w:ind w:firstLine="504" w:firstLineChars="200"/>
    </w:pPr>
    <w:rPr>
      <w:rFonts w:cs="宋体"/>
      <w:color w:val="000000"/>
      <w:spacing w:val="6"/>
      <w:sz w:val="24"/>
    </w:rPr>
  </w:style>
  <w:style w:type="paragraph" w:customStyle="1" w:styleId="24">
    <w:name w:val="正文1"/>
    <w:basedOn w:val="1"/>
    <w:qFormat/>
    <w:uiPriority w:val="0"/>
    <w:pPr>
      <w:adjustRightInd w:val="0"/>
      <w:snapToGrid w:val="0"/>
      <w:spacing w:line="360" w:lineRule="auto"/>
      <w:ind w:firstLine="467" w:firstLineChars="200"/>
      <w:textAlignment w:val="baseline"/>
    </w:pPr>
    <w:rPr>
      <w:rFonts w:ascii="宋体"/>
      <w:kern w:val="0"/>
      <w:sz w:val="24"/>
      <w:lang w:eastAsia="zh-CN"/>
    </w:rPr>
  </w:style>
  <w:style w:type="paragraph" w:customStyle="1" w:styleId="25">
    <w:name w:val="正文样式"/>
    <w:basedOn w:val="1"/>
    <w:qFormat/>
    <w:uiPriority w:val="0"/>
    <w:pPr>
      <w:adjustRightInd w:val="0"/>
      <w:snapToGrid w:val="0"/>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Words>
  <Characters>434</Characters>
  <Lines>3</Lines>
  <Paragraphs>1</Paragraphs>
  <TotalTime>1</TotalTime>
  <ScaleCrop>false</ScaleCrop>
  <LinksUpToDate>false</LinksUpToDate>
  <CharactersWithSpaces>509</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2016-02-25T08:15:00Z</dcterms:created>
  <dc:creator>Administrator</dc:creator>
  <cp:lastModifiedBy>庞晓辉</cp:lastModifiedBy>
  <cp:lastPrinted>2019-06-18T00:32:00Z</cp:lastPrinted>
  <dcterms:modified xsi:type="dcterms:W3CDTF">2021-03-22T08:13:45Z</dcterms:modified>
  <dc:title>拟审批的建设项目环境影响报告表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