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0" w:type="pct"/>
        <w:tblLook w:val="04A0" w:firstRow="1" w:lastRow="0" w:firstColumn="1" w:lastColumn="0" w:noHBand="0" w:noVBand="1"/>
      </w:tblPr>
      <w:tblGrid>
        <w:gridCol w:w="1383"/>
        <w:gridCol w:w="1417"/>
        <w:gridCol w:w="1559"/>
        <w:gridCol w:w="2410"/>
        <w:gridCol w:w="1843"/>
        <w:gridCol w:w="5562"/>
      </w:tblGrid>
      <w:tr w:rsidR="00AC76BF" w:rsidRPr="00AC76BF" w14:paraId="318270A5" w14:textId="77777777" w:rsidTr="00AC76BF">
        <w:trPr>
          <w:trHeight w:val="454"/>
        </w:trPr>
        <w:tc>
          <w:tcPr>
            <w:tcW w:w="488" w:type="pct"/>
            <w:vAlign w:val="center"/>
          </w:tcPr>
          <w:p w14:paraId="77990298" w14:textId="5DE46099" w:rsidR="00AC76BF" w:rsidRPr="00AC76BF" w:rsidRDefault="00AC76BF" w:rsidP="00AC76BF">
            <w:pPr>
              <w:rPr>
                <w:sz w:val="24"/>
                <w:szCs w:val="24"/>
              </w:rPr>
            </w:pPr>
            <w:bookmarkStart w:id="0" w:name="RANGE!A1:F2"/>
            <w:r w:rsidRPr="00AC76BF">
              <w:rPr>
                <w:rFonts w:ascii="宋体" w:eastAsia="宋体" w:hAnsi="宋体" w:cs="宋体" w:hint="eastAsia"/>
                <w:sz w:val="24"/>
                <w:szCs w:val="24"/>
              </w:rPr>
              <w:t>项目名称</w:t>
            </w:r>
            <w:bookmarkEnd w:id="0"/>
          </w:p>
        </w:tc>
        <w:tc>
          <w:tcPr>
            <w:tcW w:w="500" w:type="pct"/>
            <w:vAlign w:val="center"/>
          </w:tcPr>
          <w:p w14:paraId="44056CBE" w14:textId="1D5AC492" w:rsidR="00AC76BF" w:rsidRPr="00AC76BF" w:rsidRDefault="00AC76BF" w:rsidP="00AC76BF">
            <w:pPr>
              <w:rPr>
                <w:sz w:val="24"/>
                <w:szCs w:val="24"/>
              </w:rPr>
            </w:pPr>
            <w:r w:rsidRPr="00AC76BF">
              <w:rPr>
                <w:rFonts w:ascii="宋体" w:eastAsia="宋体" w:hAnsi="宋体" w:cs="宋体" w:hint="eastAsia"/>
                <w:sz w:val="24"/>
                <w:szCs w:val="24"/>
              </w:rPr>
              <w:t>建设地点</w:t>
            </w:r>
          </w:p>
        </w:tc>
        <w:tc>
          <w:tcPr>
            <w:tcW w:w="550" w:type="pct"/>
            <w:vAlign w:val="center"/>
          </w:tcPr>
          <w:p w14:paraId="1F2981AD" w14:textId="3E33D999" w:rsidR="00AC76BF" w:rsidRPr="00AC76BF" w:rsidRDefault="00AC76BF" w:rsidP="00AC76BF">
            <w:pPr>
              <w:rPr>
                <w:sz w:val="24"/>
                <w:szCs w:val="24"/>
              </w:rPr>
            </w:pPr>
            <w:r w:rsidRPr="00AC76BF">
              <w:rPr>
                <w:rFonts w:ascii="宋体" w:eastAsia="宋体" w:hAnsi="宋体" w:cs="宋体" w:hint="eastAsia"/>
                <w:sz w:val="24"/>
                <w:szCs w:val="24"/>
              </w:rPr>
              <w:t>建设单位</w:t>
            </w:r>
          </w:p>
        </w:tc>
        <w:tc>
          <w:tcPr>
            <w:tcW w:w="850" w:type="pct"/>
            <w:vAlign w:val="center"/>
          </w:tcPr>
          <w:p w14:paraId="16609CB9" w14:textId="662FA423" w:rsidR="00AC76BF" w:rsidRPr="00AC76BF" w:rsidRDefault="00AC76BF" w:rsidP="00AC76BF">
            <w:pPr>
              <w:rPr>
                <w:sz w:val="24"/>
                <w:szCs w:val="24"/>
              </w:rPr>
            </w:pPr>
            <w:r w:rsidRPr="00AC76BF">
              <w:rPr>
                <w:rFonts w:ascii="宋体" w:eastAsia="宋体" w:hAnsi="宋体" w:cs="宋体" w:hint="eastAsia"/>
                <w:sz w:val="24"/>
                <w:szCs w:val="24"/>
              </w:rPr>
              <w:t>环境影响评价机构</w:t>
            </w:r>
          </w:p>
        </w:tc>
        <w:tc>
          <w:tcPr>
            <w:tcW w:w="650" w:type="pct"/>
            <w:vAlign w:val="center"/>
          </w:tcPr>
          <w:p w14:paraId="136914A4" w14:textId="4CB8BF96" w:rsidR="00AC76BF" w:rsidRPr="00AC76BF" w:rsidRDefault="00AC76BF" w:rsidP="00AC76BF">
            <w:pPr>
              <w:rPr>
                <w:sz w:val="24"/>
                <w:szCs w:val="24"/>
              </w:rPr>
            </w:pPr>
            <w:r w:rsidRPr="00AC76BF">
              <w:rPr>
                <w:rFonts w:ascii="宋体" w:eastAsia="宋体" w:hAnsi="宋体" w:cs="宋体" w:hint="eastAsia"/>
                <w:sz w:val="24"/>
                <w:szCs w:val="24"/>
              </w:rPr>
              <w:t>建设项目概况</w:t>
            </w:r>
          </w:p>
        </w:tc>
        <w:tc>
          <w:tcPr>
            <w:tcW w:w="1962" w:type="pct"/>
            <w:vAlign w:val="center"/>
          </w:tcPr>
          <w:p w14:paraId="41498A3B" w14:textId="669AB468" w:rsidR="00AC76BF" w:rsidRPr="00AC76BF" w:rsidRDefault="00AC76BF" w:rsidP="00AC76BF">
            <w:pPr>
              <w:rPr>
                <w:sz w:val="24"/>
                <w:szCs w:val="24"/>
              </w:rPr>
            </w:pPr>
            <w:r w:rsidRPr="00AC76BF">
              <w:rPr>
                <w:rFonts w:ascii="宋体" w:eastAsia="宋体" w:hAnsi="宋体" w:cs="宋体" w:hint="eastAsia"/>
                <w:sz w:val="24"/>
                <w:szCs w:val="24"/>
              </w:rPr>
              <w:t>主要环境影响及预防或减轻不良环境影响的对策和措施</w:t>
            </w:r>
          </w:p>
        </w:tc>
      </w:tr>
      <w:tr w:rsidR="00F63C4E" w:rsidRPr="00AC76BF" w14:paraId="45E2B2CA" w14:textId="77777777" w:rsidTr="006917E8">
        <w:trPr>
          <w:trHeight w:val="454"/>
        </w:trPr>
        <w:tc>
          <w:tcPr>
            <w:tcW w:w="488" w:type="pct"/>
            <w:vAlign w:val="center"/>
          </w:tcPr>
          <w:p w14:paraId="76D7B5DD" w14:textId="2905983D" w:rsidR="00F63C4E" w:rsidRPr="00AC76BF" w:rsidRDefault="00F63C4E" w:rsidP="00F63C4E">
            <w:pPr>
              <w:rPr>
                <w:rFonts w:ascii="宋体" w:eastAsia="宋体" w:hAnsi="宋体" w:cs="宋体"/>
                <w:sz w:val="24"/>
                <w:szCs w:val="24"/>
              </w:rPr>
            </w:pPr>
            <w:r w:rsidRPr="00154F01">
              <w:rPr>
                <w:rFonts w:ascii="Times New Roman" w:eastAsia="宋体" w:hAnsi="Times New Roman" w:cs="Times New Roman" w:hint="eastAsia"/>
                <w:bCs/>
                <w:color w:val="000000" w:themeColor="text1"/>
                <w:sz w:val="24"/>
              </w:rPr>
              <w:t>唐河邓氏光甫医院建设项目</w:t>
            </w:r>
          </w:p>
        </w:tc>
        <w:tc>
          <w:tcPr>
            <w:tcW w:w="500" w:type="pct"/>
            <w:vAlign w:val="center"/>
          </w:tcPr>
          <w:p w14:paraId="4C68DF43" w14:textId="2D23F95C" w:rsidR="00F63C4E" w:rsidRPr="00AC76BF" w:rsidRDefault="00F63C4E" w:rsidP="00F63C4E">
            <w:pPr>
              <w:rPr>
                <w:rFonts w:ascii="宋体" w:eastAsia="宋体" w:hAnsi="宋体" w:cs="宋体"/>
                <w:sz w:val="24"/>
                <w:szCs w:val="24"/>
              </w:rPr>
            </w:pPr>
            <w:r w:rsidRPr="00154F01">
              <w:rPr>
                <w:rFonts w:ascii="Times New Roman" w:eastAsia="宋体" w:hAnsi="Times New Roman" w:cs="Times New Roman" w:hint="eastAsia"/>
                <w:color w:val="000000" w:themeColor="text1"/>
                <w:sz w:val="24"/>
              </w:rPr>
              <w:t>唐河县黑龙镇街省道</w:t>
            </w:r>
            <w:r w:rsidRPr="00154F01">
              <w:rPr>
                <w:rFonts w:ascii="Times New Roman" w:eastAsia="宋体" w:hAnsi="Times New Roman" w:cs="Times New Roman" w:hint="eastAsia"/>
                <w:color w:val="000000" w:themeColor="text1"/>
                <w:sz w:val="24"/>
              </w:rPr>
              <w:t>S240</w:t>
            </w:r>
            <w:r w:rsidRPr="00154F01">
              <w:rPr>
                <w:rFonts w:ascii="Times New Roman" w:eastAsia="宋体" w:hAnsi="Times New Roman" w:cs="Times New Roman" w:hint="eastAsia"/>
                <w:color w:val="000000" w:themeColor="text1"/>
                <w:sz w:val="24"/>
              </w:rPr>
              <w:t>路段</w:t>
            </w:r>
          </w:p>
        </w:tc>
        <w:tc>
          <w:tcPr>
            <w:tcW w:w="550" w:type="pct"/>
            <w:vAlign w:val="center"/>
          </w:tcPr>
          <w:p w14:paraId="6E49F078" w14:textId="44BAC04C" w:rsidR="00F63C4E" w:rsidRPr="00AC76BF" w:rsidRDefault="00F63C4E" w:rsidP="00F63C4E">
            <w:pPr>
              <w:rPr>
                <w:rFonts w:ascii="宋体" w:eastAsia="宋体" w:hAnsi="宋体" w:cs="宋体"/>
                <w:sz w:val="24"/>
                <w:szCs w:val="24"/>
              </w:rPr>
            </w:pPr>
            <w:r w:rsidRPr="00154F01">
              <w:rPr>
                <w:rFonts w:ascii="Times New Roman" w:eastAsia="宋体" w:hAnsi="Times New Roman" w:cs="Times New Roman" w:hint="eastAsia"/>
                <w:bCs/>
                <w:color w:val="000000" w:themeColor="text1"/>
                <w:sz w:val="24"/>
              </w:rPr>
              <w:t>唐河邓氏光甫医院</w:t>
            </w:r>
          </w:p>
        </w:tc>
        <w:tc>
          <w:tcPr>
            <w:tcW w:w="850" w:type="pct"/>
            <w:vAlign w:val="center"/>
          </w:tcPr>
          <w:p w14:paraId="259B1159" w14:textId="18867AA7" w:rsidR="00F63C4E" w:rsidRPr="00AC76BF" w:rsidRDefault="00F63C4E" w:rsidP="00F63C4E">
            <w:pPr>
              <w:rPr>
                <w:rFonts w:ascii="宋体" w:eastAsia="宋体" w:hAnsi="宋体" w:cs="宋体"/>
                <w:sz w:val="24"/>
                <w:szCs w:val="24"/>
              </w:rPr>
            </w:pPr>
            <w:r w:rsidRPr="00F63C4E">
              <w:rPr>
                <w:rFonts w:ascii="宋体" w:eastAsia="宋体" w:hAnsi="宋体" w:cs="宋体" w:hint="eastAsia"/>
                <w:sz w:val="24"/>
                <w:szCs w:val="24"/>
              </w:rPr>
              <w:t>河南汇鑫节能环保技术有限公司</w:t>
            </w:r>
            <w:r w:rsidRPr="00F63C4E">
              <w:rPr>
                <w:rFonts w:ascii="宋体" w:eastAsia="宋体" w:hAnsi="宋体" w:cs="宋体" w:hint="eastAsia"/>
                <w:sz w:val="24"/>
                <w:szCs w:val="24"/>
              </w:rPr>
              <w:tab/>
            </w:r>
          </w:p>
        </w:tc>
        <w:tc>
          <w:tcPr>
            <w:tcW w:w="650" w:type="pct"/>
            <w:vAlign w:val="center"/>
          </w:tcPr>
          <w:p w14:paraId="48F55095" w14:textId="76C6048A" w:rsidR="00F63C4E" w:rsidRPr="00AC76BF" w:rsidRDefault="00F63C4E" w:rsidP="00F63C4E">
            <w:pPr>
              <w:rPr>
                <w:rFonts w:ascii="宋体" w:eastAsia="宋体" w:hAnsi="宋体" w:cs="宋体"/>
                <w:sz w:val="24"/>
                <w:szCs w:val="24"/>
              </w:rPr>
            </w:pPr>
            <w:r w:rsidRPr="00F63C4E">
              <w:rPr>
                <w:rFonts w:ascii="宋体" w:eastAsia="宋体" w:hAnsi="宋体" w:cs="宋体" w:hint="eastAsia"/>
                <w:sz w:val="24"/>
                <w:szCs w:val="24"/>
              </w:rPr>
              <w:t>拟投资</w:t>
            </w:r>
            <w:r>
              <w:rPr>
                <w:rFonts w:ascii="宋体" w:eastAsia="宋体" w:hAnsi="宋体" w:cs="宋体"/>
                <w:sz w:val="24"/>
                <w:szCs w:val="24"/>
              </w:rPr>
              <w:t>400</w:t>
            </w:r>
            <w:r w:rsidRPr="00F63C4E">
              <w:rPr>
                <w:rFonts w:ascii="宋体" w:eastAsia="宋体" w:hAnsi="宋体" w:cs="宋体" w:hint="eastAsia"/>
                <w:sz w:val="24"/>
                <w:szCs w:val="24"/>
              </w:rPr>
              <w:t>万元，在唐河县黑龙镇街省道S240路段兴建一所占地20亩高标准设计的医院，建设了病房楼、宿舍楼、家属楼及附属设施，购置了心电监视仪，DR等配套医疗设备</w:t>
            </w:r>
            <w:r>
              <w:rPr>
                <w:rFonts w:ascii="宋体" w:eastAsia="宋体" w:hAnsi="宋体" w:cs="宋体" w:hint="eastAsia"/>
                <w:sz w:val="24"/>
                <w:szCs w:val="24"/>
              </w:rPr>
              <w:t>。</w:t>
            </w:r>
          </w:p>
        </w:tc>
        <w:tc>
          <w:tcPr>
            <w:tcW w:w="1962" w:type="pct"/>
          </w:tcPr>
          <w:p w14:paraId="4ACFC82B" w14:textId="77777777" w:rsidR="00F63C4E" w:rsidRDefault="00F63C4E" w:rsidP="00F63C4E">
            <w:pPr>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、水环境</w:t>
            </w:r>
          </w:p>
          <w:p w14:paraId="27B8E271" w14:textId="120205E7" w:rsidR="00F63C4E" w:rsidRDefault="00F63C4E" w:rsidP="00F63C4E">
            <w:pPr>
              <w:rPr>
                <w:rFonts w:ascii="Times New Roman" w:hAnsi="Times New Roman" w:cs="Times New Roman"/>
                <w:sz w:val="24"/>
              </w:rPr>
            </w:pPr>
            <w:r w:rsidRPr="00F63C4E">
              <w:rPr>
                <w:rFonts w:ascii="Times New Roman" w:hAnsi="Times New Roman" w:cs="Times New Roman" w:hint="eastAsia"/>
                <w:sz w:val="24"/>
              </w:rPr>
              <w:t>项目营运期废水经院区污水站处理达标后，满足《医疗机构水污染物排放标准》（</w:t>
            </w:r>
            <w:r w:rsidRPr="00F63C4E">
              <w:rPr>
                <w:rFonts w:ascii="Times New Roman" w:hAnsi="Times New Roman" w:cs="Times New Roman" w:hint="eastAsia"/>
                <w:sz w:val="24"/>
              </w:rPr>
              <w:t>GB18466-2005</w:t>
            </w:r>
            <w:r w:rsidRPr="00F63C4E">
              <w:rPr>
                <w:rFonts w:ascii="Times New Roman" w:hAnsi="Times New Roman" w:cs="Times New Roman" w:hint="eastAsia"/>
                <w:sz w:val="24"/>
              </w:rPr>
              <w:t>）中的排放标准和《城镇污水处理厂污染物排放标准》（</w:t>
            </w:r>
            <w:r w:rsidRPr="00F63C4E">
              <w:rPr>
                <w:rFonts w:ascii="Times New Roman" w:hAnsi="Times New Roman" w:cs="Times New Roman" w:hint="eastAsia"/>
                <w:sz w:val="24"/>
              </w:rPr>
              <w:t>GB18918-2002</w:t>
            </w:r>
            <w:r w:rsidRPr="00F63C4E">
              <w:rPr>
                <w:rFonts w:ascii="Times New Roman" w:hAnsi="Times New Roman" w:cs="Times New Roman" w:hint="eastAsia"/>
                <w:sz w:val="24"/>
              </w:rPr>
              <w:t>）中的一级</w:t>
            </w:r>
            <w:r w:rsidRPr="00F63C4E">
              <w:rPr>
                <w:rFonts w:ascii="Times New Roman" w:hAnsi="Times New Roman" w:cs="Times New Roman" w:hint="eastAsia"/>
                <w:sz w:val="24"/>
              </w:rPr>
              <w:t>A</w:t>
            </w:r>
            <w:r w:rsidRPr="00F63C4E">
              <w:rPr>
                <w:rFonts w:ascii="Times New Roman" w:hAnsi="Times New Roman" w:cs="Times New Roman" w:hint="eastAsia"/>
                <w:sz w:val="24"/>
              </w:rPr>
              <w:t>标后，经项目西侧黑龙镇排水管道排入项目北侧</w:t>
            </w:r>
            <w:r w:rsidRPr="00F63C4E">
              <w:rPr>
                <w:rFonts w:ascii="Times New Roman" w:hAnsi="Times New Roman" w:cs="Times New Roman" w:hint="eastAsia"/>
                <w:sz w:val="24"/>
              </w:rPr>
              <w:t>827m</w:t>
            </w:r>
            <w:r w:rsidRPr="00F63C4E">
              <w:rPr>
                <w:rFonts w:ascii="Times New Roman" w:hAnsi="Times New Roman" w:cs="Times New Roman" w:hint="eastAsia"/>
                <w:sz w:val="24"/>
              </w:rPr>
              <w:t>处的北河，最终汇入唐河。</w:t>
            </w:r>
            <w:r>
              <w:rPr>
                <w:rFonts w:ascii="Times New Roman" w:hAnsi="Times New Roman" w:cs="Times New Roman" w:hint="eastAsia"/>
                <w:sz w:val="24"/>
              </w:rPr>
              <w:t>本项目采取了较完善可行的废水治理措施，对周边水环境影响较小。</w:t>
            </w:r>
          </w:p>
          <w:p w14:paraId="7AD3C943" w14:textId="77777777" w:rsidR="00F63C4E" w:rsidRDefault="00F63C4E" w:rsidP="00F63C4E">
            <w:pPr>
              <w:widowControl/>
              <w:numPr>
                <w:ilvl w:val="0"/>
                <w:numId w:val="1"/>
              </w:numPr>
              <w:jc w:val="left"/>
              <w:rPr>
                <w:rFonts w:ascii="Times New Roman" w:hAnsi="Times New Roman" w:cs="Times New Roman"/>
                <w:sz w:val="24"/>
              </w:rPr>
            </w:pPr>
            <w:r>
              <w:rPr>
                <w:rFonts w:ascii="Times New Roman" w:hAnsi="Times New Roman" w:cs="Times New Roman" w:hint="eastAsia"/>
                <w:sz w:val="24"/>
              </w:rPr>
              <w:t>大气环境</w:t>
            </w:r>
          </w:p>
          <w:p w14:paraId="6F057C18" w14:textId="77777777" w:rsidR="00F63C4E" w:rsidRPr="00F63C4E" w:rsidRDefault="00F63C4E" w:rsidP="00F63C4E">
            <w:pPr>
              <w:rPr>
                <w:rFonts w:ascii="Times New Roman" w:hAnsi="Times New Roman" w:cs="Times New Roman" w:hint="eastAsia"/>
                <w:sz w:val="24"/>
              </w:rPr>
            </w:pPr>
            <w:r w:rsidRPr="00F63C4E">
              <w:rPr>
                <w:rFonts w:ascii="Times New Roman" w:hAnsi="Times New Roman" w:cs="Times New Roman" w:hint="eastAsia"/>
                <w:sz w:val="24"/>
              </w:rPr>
              <w:t>食堂油烟利用原有的烟道，排气筒出口朝向应避开易受影响的建筑物及人群密集区；项目停车场为地上停车场，周边无高层居民，四周较为空旷，应在停车场周围加强绿化；在污水站周边定时喷洒除臭剂除臭，同时加强园区及污水处理站周围的绿化，加强对</w:t>
            </w:r>
            <w:r w:rsidRPr="00F63C4E">
              <w:rPr>
                <w:rFonts w:ascii="Times New Roman" w:hAnsi="Times New Roman" w:cs="Times New Roman" w:hint="eastAsia"/>
                <w:sz w:val="24"/>
              </w:rPr>
              <w:t>H2S</w:t>
            </w:r>
            <w:r w:rsidRPr="00F63C4E">
              <w:rPr>
                <w:rFonts w:ascii="Times New Roman" w:hAnsi="Times New Roman" w:cs="Times New Roman" w:hint="eastAsia"/>
                <w:sz w:val="24"/>
              </w:rPr>
              <w:t>和氨等有害气体的吸附能力。</w:t>
            </w:r>
          </w:p>
          <w:p w14:paraId="12258982" w14:textId="77777777" w:rsidR="00F63C4E" w:rsidRDefault="00F63C4E" w:rsidP="00F63C4E">
            <w:pPr>
              <w:rPr>
                <w:rFonts w:ascii="Times New Roman" w:hAnsi="Times New Roman" w:cs="Times New Roman"/>
                <w:sz w:val="24"/>
              </w:rPr>
            </w:pPr>
            <w:r w:rsidRPr="00F63C4E">
              <w:rPr>
                <w:rFonts w:ascii="Times New Roman" w:hAnsi="Times New Roman" w:cs="Times New Roman" w:hint="eastAsia"/>
                <w:sz w:val="24"/>
              </w:rPr>
              <w:t>在采取以上措施后，可大大的减少污水处理站恶臭对周围环境的影响。</w:t>
            </w:r>
          </w:p>
          <w:p w14:paraId="7C12BAF0" w14:textId="77777777" w:rsidR="00F63C4E" w:rsidRDefault="00F63C4E" w:rsidP="00F63C4E">
            <w:pPr>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、声环境</w:t>
            </w:r>
            <w:r>
              <w:rPr>
                <w:rFonts w:ascii="Times New Roman" w:hAnsi="Times New Roman" w:cs="Times New Roman" w:hint="eastAsia"/>
                <w:sz w:val="24"/>
              </w:rPr>
              <w:br/>
            </w:r>
            <w:r w:rsidRPr="00F63C4E">
              <w:rPr>
                <w:rFonts w:ascii="Times New Roman" w:hAnsi="Times New Roman" w:cs="Times New Roman" w:hint="eastAsia"/>
                <w:sz w:val="24"/>
              </w:rPr>
              <w:t>本项目噪声污染源包括餐厅油烟净化机、水泵房水泵、过往车辆产生的交通噪声，噪声源强在</w:t>
            </w:r>
            <w:r w:rsidRPr="00F63C4E">
              <w:rPr>
                <w:rFonts w:ascii="Times New Roman" w:hAnsi="Times New Roman" w:cs="Times New Roman" w:hint="eastAsia"/>
                <w:sz w:val="24"/>
              </w:rPr>
              <w:t>70-85dB</w:t>
            </w:r>
            <w:r w:rsidRPr="00F63C4E">
              <w:rPr>
                <w:rFonts w:ascii="Times New Roman" w:hAnsi="Times New Roman" w:cs="Times New Roman" w:hint="eastAsia"/>
                <w:sz w:val="24"/>
              </w:rPr>
              <w:t>（</w:t>
            </w:r>
            <w:r w:rsidRPr="00F63C4E">
              <w:rPr>
                <w:rFonts w:ascii="Times New Roman" w:hAnsi="Times New Roman" w:cs="Times New Roman" w:hint="eastAsia"/>
                <w:sz w:val="24"/>
              </w:rPr>
              <w:t>A</w:t>
            </w:r>
            <w:r w:rsidRPr="00F63C4E">
              <w:rPr>
                <w:rFonts w:ascii="Times New Roman" w:hAnsi="Times New Roman" w:cs="Times New Roman" w:hint="eastAsia"/>
                <w:sz w:val="24"/>
              </w:rPr>
              <w:t>）。通过选用低噪声设备，对设备进行基础建筑或设置单独房间等措施后隔声效果可达到</w:t>
            </w:r>
            <w:r w:rsidRPr="00F63C4E">
              <w:rPr>
                <w:rFonts w:ascii="Times New Roman" w:hAnsi="Times New Roman" w:cs="Times New Roman" w:hint="eastAsia"/>
                <w:sz w:val="24"/>
              </w:rPr>
              <w:t>15dB(A)</w:t>
            </w:r>
            <w:r w:rsidRPr="00F63C4E">
              <w:rPr>
                <w:rFonts w:ascii="Times New Roman" w:hAnsi="Times New Roman" w:cs="Times New Roman" w:hint="eastAsia"/>
                <w:sz w:val="24"/>
              </w:rPr>
              <w:t>以上。经预测，项目营运期产生噪声对周边声环境影响较小。</w:t>
            </w:r>
          </w:p>
          <w:p w14:paraId="107F1015" w14:textId="60A3842E" w:rsidR="00F63C4E" w:rsidRDefault="00F63C4E" w:rsidP="00F63C4E">
            <w:pPr>
              <w:rPr>
                <w:rFonts w:ascii="Times New Roman" w:hAnsi="Times New Roman" w:cs="Times New Roman"/>
                <w:sz w:val="24"/>
              </w:rPr>
            </w:pPr>
            <w:r>
              <w:rPr>
                <w:rFonts w:ascii="Times New Roman" w:hAnsi="Times New Roman" w:cs="Times New Roman" w:hint="eastAsia"/>
                <w:sz w:val="24"/>
              </w:rPr>
              <w:lastRenderedPageBreak/>
              <w:t>4</w:t>
            </w:r>
            <w:r>
              <w:rPr>
                <w:rFonts w:ascii="Times New Roman" w:hAnsi="Times New Roman" w:cs="Times New Roman" w:hint="eastAsia"/>
                <w:sz w:val="24"/>
              </w:rPr>
              <w:t>、</w:t>
            </w:r>
            <w:r>
              <w:rPr>
                <w:rFonts w:ascii="Times New Roman" w:hAnsi="Times New Roman" w:cs="Times New Roman"/>
                <w:sz w:val="24"/>
              </w:rPr>
              <w:t>固体废物</w:t>
            </w:r>
          </w:p>
          <w:p w14:paraId="366F3EA9" w14:textId="77777777" w:rsidR="00F63C4E" w:rsidRPr="00F63C4E" w:rsidRDefault="00F63C4E" w:rsidP="00F63C4E">
            <w:pPr>
              <w:rPr>
                <w:rFonts w:ascii="Times New Roman" w:hAnsi="Times New Roman" w:cs="Times New Roman" w:hint="eastAsia"/>
                <w:sz w:val="24"/>
              </w:rPr>
            </w:pPr>
            <w:r w:rsidRPr="00F63C4E">
              <w:rPr>
                <w:rFonts w:ascii="Times New Roman" w:hAnsi="Times New Roman" w:cs="Times New Roman" w:hint="eastAsia"/>
                <w:sz w:val="24"/>
              </w:rPr>
              <w:t>本项目产生的固体废物种类主要有医疗废物、生活垃圾、污泥等。生活垃圾设置垃圾箱由环卫工人收集后委托环卫部门运往垃圾填埋场进行处理。医疗废物经收集后分类储存于医废暂存间，随后委托南阳康卫环保有限公司进行处理；污泥在污泥消毒池内，投加石灰或漂白粉作为消毒剂进行消毒，消毒后的污泥经脱水后封装，作为危废委托有资质的处置中心进行处理。</w:t>
            </w:r>
          </w:p>
          <w:p w14:paraId="06214863" w14:textId="64C3B076" w:rsidR="00F63C4E" w:rsidRPr="00AC76BF" w:rsidRDefault="00F63C4E" w:rsidP="00F63C4E">
            <w:pPr>
              <w:rPr>
                <w:rFonts w:ascii="宋体" w:eastAsia="宋体" w:hAnsi="宋体" w:cs="宋体"/>
                <w:sz w:val="24"/>
                <w:szCs w:val="24"/>
              </w:rPr>
            </w:pPr>
            <w:r w:rsidRPr="00F63C4E">
              <w:rPr>
                <w:rFonts w:ascii="Times New Roman" w:hAnsi="Times New Roman" w:cs="Times New Roman" w:hint="eastAsia"/>
                <w:sz w:val="24"/>
              </w:rPr>
              <w:t>评价认为上述处理措施可行，要求院区严格按照各项条例、规划对院区内固体废物进行合理妥善处理处置。</w:t>
            </w:r>
            <w:bookmarkStart w:id="1" w:name="_GoBack"/>
            <w:bookmarkEnd w:id="1"/>
          </w:p>
        </w:tc>
      </w:tr>
    </w:tbl>
    <w:p w14:paraId="557D582A" w14:textId="77777777" w:rsidR="00AF286D" w:rsidRDefault="002828BC"/>
    <w:sectPr w:rsidR="00AF286D" w:rsidSect="00AC76B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4E27" w14:textId="77777777" w:rsidR="002828BC" w:rsidRDefault="002828BC" w:rsidP="00AC76BF">
      <w:r>
        <w:separator/>
      </w:r>
    </w:p>
  </w:endnote>
  <w:endnote w:type="continuationSeparator" w:id="0">
    <w:p w14:paraId="0898E55F" w14:textId="77777777" w:rsidR="002828BC" w:rsidRDefault="002828BC" w:rsidP="00AC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672C" w14:textId="77777777" w:rsidR="002828BC" w:rsidRDefault="002828BC" w:rsidP="00AC76BF">
      <w:r>
        <w:separator/>
      </w:r>
    </w:p>
  </w:footnote>
  <w:footnote w:type="continuationSeparator" w:id="0">
    <w:p w14:paraId="61E7EB61" w14:textId="77777777" w:rsidR="002828BC" w:rsidRDefault="002828BC" w:rsidP="00AC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ADC34C"/>
    <w:multiLevelType w:val="singleLevel"/>
    <w:tmpl w:val="88ADC34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B1A0A"/>
    <w:rsid w:val="002828BC"/>
    <w:rsid w:val="00391D94"/>
    <w:rsid w:val="003B7397"/>
    <w:rsid w:val="00742AB7"/>
    <w:rsid w:val="00A02847"/>
    <w:rsid w:val="00AB1A0A"/>
    <w:rsid w:val="00AC76BF"/>
    <w:rsid w:val="00ED61AC"/>
    <w:rsid w:val="00F6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F9BB"/>
  <w15:chartTrackingRefBased/>
  <w15:docId w15:val="{7B7E4685-7C82-40A3-9AFB-E5C0375B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6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76BF"/>
    <w:rPr>
      <w:sz w:val="18"/>
      <w:szCs w:val="18"/>
    </w:rPr>
  </w:style>
  <w:style w:type="paragraph" w:styleId="a5">
    <w:name w:val="footer"/>
    <w:basedOn w:val="a"/>
    <w:link w:val="a6"/>
    <w:uiPriority w:val="99"/>
    <w:unhideWhenUsed/>
    <w:rsid w:val="00AC76BF"/>
    <w:pPr>
      <w:tabs>
        <w:tab w:val="center" w:pos="4153"/>
        <w:tab w:val="right" w:pos="8306"/>
      </w:tabs>
      <w:snapToGrid w:val="0"/>
      <w:jc w:val="left"/>
    </w:pPr>
    <w:rPr>
      <w:sz w:val="18"/>
      <w:szCs w:val="18"/>
    </w:rPr>
  </w:style>
  <w:style w:type="character" w:customStyle="1" w:styleId="a6">
    <w:name w:val="页脚 字符"/>
    <w:basedOn w:val="a0"/>
    <w:link w:val="a5"/>
    <w:uiPriority w:val="99"/>
    <w:rsid w:val="00AC76BF"/>
    <w:rPr>
      <w:sz w:val="18"/>
      <w:szCs w:val="18"/>
    </w:rPr>
  </w:style>
  <w:style w:type="table" w:styleId="a7">
    <w:name w:val="Table Grid"/>
    <w:basedOn w:val="a1"/>
    <w:uiPriority w:val="59"/>
    <w:rsid w:val="00AC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2021-02-20T03:44:00Z</dcterms:created>
  <dcterms:modified xsi:type="dcterms:W3CDTF">2021-02-20T03:51:00Z</dcterms:modified>
</cp:coreProperties>
</file>