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E9" w:rsidRPr="00E52B56" w:rsidRDefault="000D3DE9" w:rsidP="001039FD">
      <w:pPr>
        <w:widowControl/>
        <w:shd w:val="clear" w:color="auto" w:fill="FFFFFF"/>
        <w:spacing w:before="100" w:beforeAutospacing="1" w:after="100" w:afterAutospacing="1" w:line="2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E52B5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拟审批的建设项目环境影响表</w:t>
      </w:r>
    </w:p>
    <w:tbl>
      <w:tblPr>
        <w:tblW w:w="15292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023"/>
        <w:gridCol w:w="807"/>
        <w:gridCol w:w="855"/>
        <w:gridCol w:w="966"/>
        <w:gridCol w:w="2022"/>
        <w:gridCol w:w="7979"/>
        <w:gridCol w:w="1235"/>
      </w:tblGrid>
      <w:tr w:rsidR="00082B46" w:rsidRPr="002F40A0" w:rsidTr="001039FD">
        <w:trPr>
          <w:trHeight w:val="557"/>
          <w:tblCellSpacing w:w="0" w:type="dxa"/>
          <w:jc w:val="center"/>
        </w:trPr>
        <w:tc>
          <w:tcPr>
            <w:tcW w:w="405" w:type="dxa"/>
            <w:vAlign w:val="center"/>
            <w:hideMark/>
          </w:tcPr>
          <w:p w:rsidR="00082B46" w:rsidRPr="002F40A0" w:rsidRDefault="00082B46" w:rsidP="001039FD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23" w:type="dxa"/>
            <w:vAlign w:val="center"/>
            <w:hideMark/>
          </w:tcPr>
          <w:p w:rsidR="00082B46" w:rsidRPr="002F40A0" w:rsidRDefault="00082B46" w:rsidP="001039FD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07" w:type="dxa"/>
            <w:vAlign w:val="center"/>
            <w:hideMark/>
          </w:tcPr>
          <w:p w:rsidR="00082B46" w:rsidRPr="002F40A0" w:rsidRDefault="00082B46" w:rsidP="001039FD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建设地点</w:t>
            </w:r>
          </w:p>
        </w:tc>
        <w:tc>
          <w:tcPr>
            <w:tcW w:w="855" w:type="dxa"/>
            <w:vAlign w:val="center"/>
            <w:hideMark/>
          </w:tcPr>
          <w:p w:rsidR="00082B46" w:rsidRPr="002F40A0" w:rsidRDefault="00082B46" w:rsidP="001039FD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966" w:type="dxa"/>
            <w:vAlign w:val="center"/>
            <w:hideMark/>
          </w:tcPr>
          <w:p w:rsidR="00082B46" w:rsidRPr="002F40A0" w:rsidRDefault="00082B46" w:rsidP="001039FD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环境影响评价机构</w:t>
            </w:r>
          </w:p>
        </w:tc>
        <w:tc>
          <w:tcPr>
            <w:tcW w:w="2022" w:type="dxa"/>
            <w:vAlign w:val="center"/>
            <w:hideMark/>
          </w:tcPr>
          <w:p w:rsidR="00082B46" w:rsidRPr="002F40A0" w:rsidRDefault="00082B46" w:rsidP="001039FD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建设项目概况</w:t>
            </w:r>
          </w:p>
        </w:tc>
        <w:tc>
          <w:tcPr>
            <w:tcW w:w="7979" w:type="dxa"/>
            <w:tcBorders>
              <w:right w:val="single" w:sz="4" w:space="0" w:color="auto"/>
            </w:tcBorders>
            <w:vAlign w:val="center"/>
            <w:hideMark/>
          </w:tcPr>
          <w:p w:rsidR="00082B46" w:rsidRPr="002F40A0" w:rsidRDefault="00082B46" w:rsidP="001039FD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主要环境影响及预防或减轻不良环境影响的对策和措施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082B46" w:rsidRPr="002F40A0" w:rsidRDefault="00082B46" w:rsidP="001039FD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82B46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公众参与情况</w:t>
            </w:r>
          </w:p>
        </w:tc>
      </w:tr>
      <w:tr w:rsidR="00082B46" w:rsidRPr="002F40A0" w:rsidTr="001039FD">
        <w:trPr>
          <w:trHeight w:val="2825"/>
          <w:tblCellSpacing w:w="0" w:type="dxa"/>
          <w:jc w:val="center"/>
        </w:trPr>
        <w:tc>
          <w:tcPr>
            <w:tcW w:w="405" w:type="dxa"/>
            <w:vAlign w:val="center"/>
            <w:hideMark/>
          </w:tcPr>
          <w:p w:rsidR="00082B46" w:rsidRPr="0034349D" w:rsidRDefault="00082B46" w:rsidP="001039FD">
            <w:pPr>
              <w:spacing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349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3" w:type="dxa"/>
            <w:vAlign w:val="center"/>
            <w:hideMark/>
          </w:tcPr>
          <w:p w:rsidR="00082B46" w:rsidRPr="0034349D" w:rsidRDefault="00FF0D55" w:rsidP="001039FD">
            <w:pPr>
              <w:spacing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唐河县鑫淼砂石有限公司县域河道采砂</w:t>
            </w:r>
            <w:r w:rsidR="00C7124E" w:rsidRPr="00C7124E">
              <w:rPr>
                <w:rFonts w:ascii="Times New Roman" w:hAnsi="Times New Roman" w:hint="eastAsia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807" w:type="dxa"/>
            <w:vAlign w:val="center"/>
            <w:hideMark/>
          </w:tcPr>
          <w:p w:rsidR="00082B46" w:rsidRPr="00B6514B" w:rsidRDefault="00FF0D55" w:rsidP="001039FD">
            <w:pPr>
              <w:spacing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唐河县境内</w:t>
            </w:r>
            <w:proofErr w:type="gramStart"/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泌阳河</w:t>
            </w:r>
            <w:proofErr w:type="gramEnd"/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及三夹河河段</w:t>
            </w:r>
          </w:p>
        </w:tc>
        <w:tc>
          <w:tcPr>
            <w:tcW w:w="855" w:type="dxa"/>
            <w:vAlign w:val="center"/>
          </w:tcPr>
          <w:p w:rsidR="00082B46" w:rsidRPr="00C7124E" w:rsidRDefault="00FF0D55" w:rsidP="001039FD">
            <w:pPr>
              <w:spacing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唐河县鑫淼砂石有限公司</w:t>
            </w:r>
          </w:p>
        </w:tc>
        <w:tc>
          <w:tcPr>
            <w:tcW w:w="966" w:type="dxa"/>
            <w:vAlign w:val="center"/>
          </w:tcPr>
          <w:p w:rsidR="00082B46" w:rsidRPr="0034349D" w:rsidRDefault="00082B46" w:rsidP="001039FD">
            <w:pPr>
              <w:spacing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349D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南阳市环境保护科学研究所有限公司</w:t>
            </w:r>
          </w:p>
        </w:tc>
        <w:tc>
          <w:tcPr>
            <w:tcW w:w="2022" w:type="dxa"/>
            <w:vAlign w:val="center"/>
            <w:hideMark/>
          </w:tcPr>
          <w:p w:rsidR="00082B46" w:rsidRPr="00CF35C7" w:rsidRDefault="00FF0D55" w:rsidP="00FF0D55">
            <w:pPr>
              <w:spacing w:line="300" w:lineRule="exact"/>
              <w:rPr>
                <w:rFonts w:hAnsi="宋体"/>
                <w:sz w:val="24"/>
              </w:rPr>
            </w:pPr>
            <w:r w:rsidRPr="00FF0D55">
              <w:rPr>
                <w:rFonts w:hint="eastAsia"/>
                <w:sz w:val="18"/>
                <w:szCs w:val="18"/>
              </w:rPr>
              <w:t>唐河县鑫淼砂石有限公司县域河道采砂项目总投资</w:t>
            </w:r>
            <w:r w:rsidRPr="00FF0D55">
              <w:rPr>
                <w:rFonts w:hint="eastAsia"/>
                <w:sz w:val="18"/>
                <w:szCs w:val="18"/>
              </w:rPr>
              <w:t>5098.5</w:t>
            </w:r>
            <w:r w:rsidRPr="00FF0D55">
              <w:rPr>
                <w:rFonts w:hint="eastAsia"/>
                <w:sz w:val="18"/>
                <w:szCs w:val="18"/>
              </w:rPr>
              <w:t>万元。在</w:t>
            </w:r>
            <w:proofErr w:type="gramStart"/>
            <w:r w:rsidRPr="00FF0D55">
              <w:rPr>
                <w:rFonts w:hint="eastAsia"/>
                <w:sz w:val="18"/>
                <w:szCs w:val="18"/>
              </w:rPr>
              <w:t>泌阳河</w:t>
            </w:r>
            <w:proofErr w:type="gramEnd"/>
            <w:r w:rsidRPr="00FF0D55">
              <w:rPr>
                <w:rFonts w:hint="eastAsia"/>
                <w:sz w:val="18"/>
                <w:szCs w:val="18"/>
              </w:rPr>
              <w:t>及三夹河河段共新建</w:t>
            </w:r>
            <w:r w:rsidRPr="00FF0D55">
              <w:rPr>
                <w:rFonts w:hint="eastAsia"/>
                <w:sz w:val="18"/>
                <w:szCs w:val="18"/>
              </w:rPr>
              <w:t>30</w:t>
            </w:r>
            <w:r w:rsidRPr="00FF0D55">
              <w:rPr>
                <w:rFonts w:hint="eastAsia"/>
                <w:sz w:val="18"/>
                <w:szCs w:val="18"/>
              </w:rPr>
              <w:t>个采砂点，包含采砂场</w:t>
            </w:r>
            <w:r w:rsidRPr="00FF0D55">
              <w:rPr>
                <w:rFonts w:hint="eastAsia"/>
                <w:sz w:val="18"/>
                <w:szCs w:val="18"/>
              </w:rPr>
              <w:t>30</w:t>
            </w:r>
            <w:r w:rsidRPr="00FF0D55">
              <w:rPr>
                <w:rFonts w:hint="eastAsia"/>
                <w:sz w:val="18"/>
                <w:szCs w:val="18"/>
              </w:rPr>
              <w:t>个（</w:t>
            </w:r>
            <w:proofErr w:type="gramStart"/>
            <w:r w:rsidRPr="00FF0D55">
              <w:rPr>
                <w:rFonts w:hint="eastAsia"/>
                <w:sz w:val="18"/>
                <w:szCs w:val="18"/>
              </w:rPr>
              <w:t>泌阳河</w:t>
            </w:r>
            <w:proofErr w:type="gramEnd"/>
            <w:r w:rsidRPr="00FF0D55">
              <w:rPr>
                <w:rFonts w:hint="eastAsia"/>
                <w:sz w:val="18"/>
                <w:szCs w:val="18"/>
              </w:rPr>
              <w:t>18</w:t>
            </w:r>
            <w:r w:rsidRPr="00FF0D55">
              <w:rPr>
                <w:rFonts w:hint="eastAsia"/>
                <w:sz w:val="18"/>
                <w:szCs w:val="18"/>
              </w:rPr>
              <w:t>个，设计</w:t>
            </w:r>
            <w:proofErr w:type="gramStart"/>
            <w:r w:rsidRPr="00FF0D55">
              <w:rPr>
                <w:rFonts w:hint="eastAsia"/>
                <w:sz w:val="18"/>
                <w:szCs w:val="18"/>
              </w:rPr>
              <w:t>年控制</w:t>
            </w:r>
            <w:proofErr w:type="gramEnd"/>
            <w:r w:rsidRPr="00FF0D55">
              <w:rPr>
                <w:rFonts w:hint="eastAsia"/>
                <w:sz w:val="18"/>
                <w:szCs w:val="18"/>
              </w:rPr>
              <w:t>开采量</w:t>
            </w:r>
            <w:r w:rsidRPr="00FF0D55">
              <w:rPr>
                <w:rFonts w:hint="eastAsia"/>
                <w:sz w:val="18"/>
                <w:szCs w:val="18"/>
              </w:rPr>
              <w:t>31.14</w:t>
            </w:r>
            <w:r w:rsidRPr="00FF0D55">
              <w:rPr>
                <w:rFonts w:hint="eastAsia"/>
                <w:sz w:val="18"/>
                <w:szCs w:val="18"/>
              </w:rPr>
              <w:t>万</w:t>
            </w:r>
            <w:r w:rsidRPr="00FF0D55">
              <w:rPr>
                <w:rFonts w:hint="eastAsia"/>
                <w:sz w:val="18"/>
                <w:szCs w:val="18"/>
              </w:rPr>
              <w:t>m</w:t>
            </w:r>
            <w:r w:rsidRPr="00FF0D55">
              <w:rPr>
                <w:rFonts w:hint="eastAsia"/>
                <w:sz w:val="18"/>
                <w:szCs w:val="18"/>
                <w:vertAlign w:val="superscript"/>
              </w:rPr>
              <w:t>3</w:t>
            </w:r>
            <w:r w:rsidRPr="00FF0D55">
              <w:rPr>
                <w:rFonts w:hint="eastAsia"/>
                <w:sz w:val="18"/>
                <w:szCs w:val="18"/>
              </w:rPr>
              <w:t>；三夹河</w:t>
            </w:r>
            <w:r w:rsidRPr="00FF0D55">
              <w:rPr>
                <w:rFonts w:hint="eastAsia"/>
                <w:sz w:val="18"/>
                <w:szCs w:val="18"/>
              </w:rPr>
              <w:t>12</w:t>
            </w:r>
            <w:r w:rsidRPr="00FF0D55">
              <w:rPr>
                <w:rFonts w:hint="eastAsia"/>
                <w:sz w:val="18"/>
                <w:szCs w:val="18"/>
              </w:rPr>
              <w:t>个，设计</w:t>
            </w:r>
            <w:proofErr w:type="gramStart"/>
            <w:r w:rsidRPr="00FF0D55">
              <w:rPr>
                <w:rFonts w:hint="eastAsia"/>
                <w:sz w:val="18"/>
                <w:szCs w:val="18"/>
              </w:rPr>
              <w:t>年控制</w:t>
            </w:r>
            <w:proofErr w:type="gramEnd"/>
            <w:r w:rsidRPr="00FF0D55">
              <w:rPr>
                <w:rFonts w:hint="eastAsia"/>
                <w:sz w:val="18"/>
                <w:szCs w:val="18"/>
              </w:rPr>
              <w:t>开采量</w:t>
            </w:r>
            <w:r w:rsidRPr="00FF0D55">
              <w:rPr>
                <w:rFonts w:hint="eastAsia"/>
                <w:sz w:val="18"/>
                <w:szCs w:val="18"/>
              </w:rPr>
              <w:t>32.31</w:t>
            </w:r>
            <w:r w:rsidRPr="00FF0D55">
              <w:rPr>
                <w:rFonts w:hint="eastAsia"/>
                <w:sz w:val="18"/>
                <w:szCs w:val="18"/>
              </w:rPr>
              <w:t>万</w:t>
            </w:r>
            <w:r w:rsidRPr="00FF0D55">
              <w:rPr>
                <w:rFonts w:hint="eastAsia"/>
                <w:sz w:val="18"/>
                <w:szCs w:val="18"/>
              </w:rPr>
              <w:t>m</w:t>
            </w:r>
            <w:r w:rsidRPr="00FF0D55">
              <w:rPr>
                <w:rFonts w:hint="eastAsia"/>
                <w:sz w:val="18"/>
                <w:szCs w:val="18"/>
                <w:vertAlign w:val="superscript"/>
              </w:rPr>
              <w:t>3</w:t>
            </w:r>
            <w:r w:rsidRPr="00FF0D55">
              <w:rPr>
                <w:rFonts w:hint="eastAsia"/>
                <w:sz w:val="18"/>
                <w:szCs w:val="18"/>
              </w:rPr>
              <w:t>），河道内临时码头</w:t>
            </w:r>
            <w:r w:rsidRPr="00FF0D55">
              <w:rPr>
                <w:rFonts w:hint="eastAsia"/>
                <w:sz w:val="18"/>
                <w:szCs w:val="18"/>
              </w:rPr>
              <w:t>30</w:t>
            </w:r>
            <w:r w:rsidRPr="00FF0D55">
              <w:rPr>
                <w:rFonts w:hint="eastAsia"/>
                <w:sz w:val="18"/>
                <w:szCs w:val="18"/>
              </w:rPr>
              <w:t>处（</w:t>
            </w:r>
            <w:proofErr w:type="gramStart"/>
            <w:r w:rsidRPr="00FF0D55">
              <w:rPr>
                <w:rFonts w:hint="eastAsia"/>
                <w:sz w:val="18"/>
                <w:szCs w:val="18"/>
              </w:rPr>
              <w:t>泌阳河</w:t>
            </w:r>
            <w:proofErr w:type="gramEnd"/>
            <w:r w:rsidRPr="00FF0D55">
              <w:rPr>
                <w:rFonts w:hint="eastAsia"/>
                <w:sz w:val="18"/>
                <w:szCs w:val="18"/>
              </w:rPr>
              <w:t>18</w:t>
            </w:r>
            <w:r w:rsidRPr="00FF0D55">
              <w:rPr>
                <w:rFonts w:hint="eastAsia"/>
                <w:sz w:val="18"/>
                <w:szCs w:val="18"/>
              </w:rPr>
              <w:t>处，三夹河</w:t>
            </w:r>
            <w:r w:rsidRPr="00FF0D55">
              <w:rPr>
                <w:rFonts w:hint="eastAsia"/>
                <w:sz w:val="18"/>
                <w:szCs w:val="18"/>
              </w:rPr>
              <w:t>12</w:t>
            </w:r>
            <w:r w:rsidRPr="00FF0D55">
              <w:rPr>
                <w:rFonts w:hint="eastAsia"/>
                <w:sz w:val="18"/>
                <w:szCs w:val="18"/>
              </w:rPr>
              <w:t>处），均占用河道内滩涂地，总面积约</w:t>
            </w:r>
            <w:r w:rsidRPr="00FF0D55">
              <w:rPr>
                <w:rFonts w:hint="eastAsia"/>
                <w:sz w:val="18"/>
                <w:szCs w:val="18"/>
              </w:rPr>
              <w:t>4800m</w:t>
            </w:r>
            <w:r w:rsidRPr="00FF0D55">
              <w:rPr>
                <w:rFonts w:hint="eastAsia"/>
                <w:sz w:val="18"/>
                <w:szCs w:val="18"/>
                <w:vertAlign w:val="superscript"/>
              </w:rPr>
              <w:t>2</w:t>
            </w:r>
            <w:r w:rsidRPr="00FF0D55">
              <w:rPr>
                <w:rFonts w:hint="eastAsia"/>
                <w:sz w:val="18"/>
                <w:szCs w:val="18"/>
              </w:rPr>
              <w:t>，</w:t>
            </w:r>
            <w:r w:rsidRPr="00FF0D55">
              <w:rPr>
                <w:rFonts w:hint="eastAsia"/>
                <w:sz w:val="18"/>
                <w:szCs w:val="18"/>
              </w:rPr>
              <w:t>2020</w:t>
            </w:r>
            <w:r w:rsidRPr="00FF0D55">
              <w:rPr>
                <w:rFonts w:hint="eastAsia"/>
                <w:sz w:val="18"/>
                <w:szCs w:val="18"/>
              </w:rPr>
              <w:t>年度，设计年采砂量</w:t>
            </w:r>
            <w:r w:rsidRPr="00FF0D55">
              <w:rPr>
                <w:rFonts w:hint="eastAsia"/>
                <w:sz w:val="18"/>
                <w:szCs w:val="18"/>
              </w:rPr>
              <w:t>63.45</w:t>
            </w:r>
            <w:r w:rsidRPr="00FF0D55">
              <w:rPr>
                <w:rFonts w:hint="eastAsia"/>
                <w:sz w:val="18"/>
                <w:szCs w:val="18"/>
              </w:rPr>
              <w:t>万</w:t>
            </w:r>
            <w:r w:rsidRPr="00FF0D55">
              <w:rPr>
                <w:rFonts w:hint="eastAsia"/>
                <w:sz w:val="18"/>
                <w:szCs w:val="18"/>
              </w:rPr>
              <w:t>m</w:t>
            </w:r>
            <w:r w:rsidRPr="00FF0D55">
              <w:rPr>
                <w:rFonts w:hint="eastAsia"/>
                <w:sz w:val="18"/>
                <w:szCs w:val="18"/>
                <w:vertAlign w:val="superscript"/>
              </w:rPr>
              <w:t>3</w:t>
            </w:r>
            <w:r w:rsidRPr="00FF0D55">
              <w:rPr>
                <w:rFonts w:hint="eastAsia"/>
                <w:sz w:val="18"/>
                <w:szCs w:val="18"/>
              </w:rPr>
              <w:t>。设置</w:t>
            </w:r>
            <w:r w:rsidRPr="00FF0D55">
              <w:rPr>
                <w:rFonts w:hint="eastAsia"/>
                <w:sz w:val="18"/>
                <w:szCs w:val="18"/>
              </w:rPr>
              <w:t>3</w:t>
            </w:r>
            <w:r w:rsidRPr="00FF0D55">
              <w:rPr>
                <w:rFonts w:hint="eastAsia"/>
                <w:sz w:val="18"/>
                <w:szCs w:val="18"/>
              </w:rPr>
              <w:t>个储运销售中心，分别为大河屯储运销售中心（占地</w:t>
            </w:r>
            <w:r w:rsidRPr="00FF0D55">
              <w:rPr>
                <w:rFonts w:hint="eastAsia"/>
                <w:sz w:val="18"/>
                <w:szCs w:val="18"/>
              </w:rPr>
              <w:t>32016 m</w:t>
            </w:r>
            <w:r w:rsidRPr="00FF0D55">
              <w:rPr>
                <w:rFonts w:hint="eastAsia"/>
                <w:sz w:val="18"/>
                <w:szCs w:val="18"/>
                <w:vertAlign w:val="superscript"/>
              </w:rPr>
              <w:t>2</w:t>
            </w:r>
            <w:r w:rsidRPr="00FF0D55">
              <w:rPr>
                <w:rFonts w:hint="eastAsia"/>
                <w:sz w:val="18"/>
                <w:szCs w:val="18"/>
              </w:rPr>
              <w:t>）、城区平价砂石储运销售中心（占地</w:t>
            </w:r>
            <w:r w:rsidRPr="00FF0D55">
              <w:rPr>
                <w:rFonts w:hint="eastAsia"/>
                <w:sz w:val="18"/>
                <w:szCs w:val="18"/>
              </w:rPr>
              <w:t>12201m</w:t>
            </w:r>
            <w:r w:rsidRPr="00FF0D55">
              <w:rPr>
                <w:rFonts w:hint="eastAsia"/>
                <w:sz w:val="18"/>
                <w:szCs w:val="18"/>
                <w:vertAlign w:val="superscript"/>
              </w:rPr>
              <w:t>2</w:t>
            </w:r>
            <w:r w:rsidRPr="00FF0D55">
              <w:rPr>
                <w:rFonts w:hint="eastAsia"/>
                <w:sz w:val="18"/>
                <w:szCs w:val="18"/>
              </w:rPr>
              <w:t>）、长桥储运销售中心（占地</w:t>
            </w:r>
            <w:r w:rsidRPr="00FF0D55">
              <w:rPr>
                <w:rFonts w:hint="eastAsia"/>
                <w:sz w:val="18"/>
                <w:szCs w:val="18"/>
              </w:rPr>
              <w:t>9350m</w:t>
            </w:r>
            <w:r w:rsidRPr="00FF0D55">
              <w:rPr>
                <w:rFonts w:hint="eastAsia"/>
                <w:sz w:val="18"/>
                <w:szCs w:val="18"/>
                <w:vertAlign w:val="superscript"/>
              </w:rPr>
              <w:t>2</w:t>
            </w:r>
            <w:r w:rsidRPr="00FF0D55">
              <w:rPr>
                <w:rFonts w:hint="eastAsia"/>
                <w:sz w:val="18"/>
                <w:szCs w:val="18"/>
              </w:rPr>
              <w:t>）</w:t>
            </w:r>
            <w:r w:rsidR="00E324D1" w:rsidRPr="00D720E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979" w:type="dxa"/>
            <w:tcBorders>
              <w:right w:val="single" w:sz="4" w:space="0" w:color="auto"/>
            </w:tcBorders>
            <w:vAlign w:val="center"/>
            <w:hideMark/>
          </w:tcPr>
          <w:p w:rsidR="00254A0B" w:rsidRPr="001039FD" w:rsidRDefault="00082B46" w:rsidP="001039FD"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52B56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1.</w:t>
            </w:r>
            <w:r w:rsidRPr="00E52B56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废水污染防治措施：</w:t>
            </w:r>
            <w:r w:rsidR="00254A0B" w:rsidRPr="00254A0B">
              <w:rPr>
                <w:rFonts w:ascii="宋体" w:hAnsi="宋体" w:hint="eastAsia"/>
                <w:color w:val="000000"/>
                <w:sz w:val="18"/>
                <w:szCs w:val="18"/>
              </w:rPr>
              <w:t>项目在生产过程中产生的废水主要包括</w:t>
            </w:r>
            <w:r w:rsidR="00861018" w:rsidRPr="00861018">
              <w:rPr>
                <w:rFonts w:ascii="宋体" w:hAnsi="宋体" w:hint="eastAsia"/>
                <w:color w:val="000000"/>
                <w:sz w:val="18"/>
                <w:szCs w:val="18"/>
              </w:rPr>
              <w:t>降尘喷淋用水</w:t>
            </w:r>
            <w:r w:rsidR="00254A0B" w:rsidRPr="00254A0B">
              <w:rPr>
                <w:rFonts w:ascii="宋体" w:hAnsi="宋体" w:hint="eastAsia"/>
                <w:color w:val="000000"/>
                <w:sz w:val="18"/>
                <w:szCs w:val="18"/>
              </w:rPr>
              <w:t>、</w:t>
            </w:r>
            <w:r w:rsidR="00861018" w:rsidRPr="00861018">
              <w:rPr>
                <w:rFonts w:ascii="宋体" w:hAnsi="宋体" w:hint="eastAsia"/>
                <w:color w:val="000000"/>
                <w:sz w:val="18"/>
                <w:szCs w:val="18"/>
              </w:rPr>
              <w:t>运输车辆清洗用水</w:t>
            </w:r>
            <w:r w:rsidR="00254A0B" w:rsidRPr="00254A0B">
              <w:rPr>
                <w:rFonts w:ascii="宋体" w:hAnsi="宋体" w:hint="eastAsia"/>
                <w:color w:val="000000"/>
                <w:sz w:val="18"/>
                <w:szCs w:val="18"/>
              </w:rPr>
              <w:t>、</w:t>
            </w:r>
            <w:r w:rsidR="00861018" w:rsidRPr="00861018">
              <w:rPr>
                <w:rFonts w:ascii="宋体" w:hAnsi="宋体" w:hint="eastAsia"/>
                <w:color w:val="000000"/>
                <w:sz w:val="18"/>
                <w:szCs w:val="18"/>
              </w:rPr>
              <w:t>采场砂石分离废水及洗沙废水</w:t>
            </w:r>
            <w:r w:rsidR="00254A0B" w:rsidRPr="00254A0B">
              <w:rPr>
                <w:rFonts w:ascii="宋体" w:hAnsi="宋体" w:hint="eastAsia"/>
                <w:color w:val="000000"/>
                <w:sz w:val="18"/>
                <w:szCs w:val="18"/>
              </w:rPr>
              <w:t>、</w:t>
            </w:r>
            <w:r w:rsidR="00861018" w:rsidRPr="00861018">
              <w:rPr>
                <w:rFonts w:ascii="宋体" w:hAnsi="宋体" w:hint="eastAsia"/>
                <w:color w:val="000000"/>
                <w:sz w:val="18"/>
                <w:szCs w:val="18"/>
              </w:rPr>
              <w:t>采砂船及运砂船含油废水</w:t>
            </w:r>
            <w:r w:rsidR="00254A0B" w:rsidRPr="00254A0B">
              <w:rPr>
                <w:rFonts w:ascii="宋体" w:hAnsi="宋体" w:hint="eastAsia"/>
                <w:color w:val="000000"/>
                <w:sz w:val="18"/>
                <w:szCs w:val="18"/>
              </w:rPr>
              <w:t>及职工生活污水等。</w:t>
            </w:r>
            <w:r w:rsidR="00C50622" w:rsidRPr="00861018">
              <w:rPr>
                <w:rFonts w:ascii="宋体" w:hAnsi="宋体" w:hint="eastAsia"/>
                <w:color w:val="000000"/>
                <w:sz w:val="18"/>
                <w:szCs w:val="18"/>
              </w:rPr>
              <w:t>降尘喷淋</w:t>
            </w:r>
            <w:r w:rsidR="001E0EAC">
              <w:rPr>
                <w:rFonts w:ascii="宋体" w:hAnsi="宋体" w:hint="eastAsia"/>
                <w:color w:val="000000"/>
                <w:sz w:val="18"/>
                <w:szCs w:val="18"/>
              </w:rPr>
              <w:t>用水</w:t>
            </w:r>
            <w:r w:rsidR="006F0845" w:rsidRPr="006F0845">
              <w:rPr>
                <w:rFonts w:ascii="宋体" w:hAnsi="宋体" w:hint="eastAsia"/>
                <w:color w:val="000000"/>
                <w:sz w:val="18"/>
                <w:szCs w:val="18"/>
              </w:rPr>
              <w:t>自然蒸发，无废水排放</w:t>
            </w:r>
            <w:r w:rsidR="006F0845">
              <w:rPr>
                <w:rFonts w:ascii="宋体" w:hAnsi="宋体" w:hint="eastAsia"/>
                <w:color w:val="000000"/>
                <w:sz w:val="18"/>
                <w:szCs w:val="18"/>
              </w:rPr>
              <w:t>；</w:t>
            </w:r>
            <w:r w:rsidR="00C50622" w:rsidRPr="00861018">
              <w:rPr>
                <w:rFonts w:ascii="宋体" w:hAnsi="宋体" w:hint="eastAsia"/>
                <w:color w:val="000000"/>
                <w:sz w:val="18"/>
                <w:szCs w:val="18"/>
              </w:rPr>
              <w:t>运输车辆清洗</w:t>
            </w:r>
            <w:r w:rsidR="006F0845">
              <w:rPr>
                <w:rFonts w:ascii="宋体" w:hAnsi="宋体" w:hint="eastAsia"/>
                <w:color w:val="000000"/>
                <w:sz w:val="18"/>
                <w:szCs w:val="18"/>
              </w:rPr>
              <w:t>废水</w:t>
            </w:r>
            <w:r w:rsidR="006F0845" w:rsidRPr="006F0845">
              <w:rPr>
                <w:rFonts w:ascii="宋体" w:hAnsi="宋体" w:hint="eastAsia"/>
                <w:color w:val="000000"/>
                <w:sz w:val="18"/>
                <w:szCs w:val="18"/>
              </w:rPr>
              <w:t>汇入各采场设置的多级沉淀池+砂滤池处理后排放河流</w:t>
            </w:r>
            <w:r w:rsidR="006F0845">
              <w:rPr>
                <w:rFonts w:ascii="宋体" w:hAnsi="宋体" w:hint="eastAsia"/>
                <w:sz w:val="18"/>
                <w:szCs w:val="18"/>
              </w:rPr>
              <w:t>；</w:t>
            </w:r>
            <w:r w:rsidR="006F0845" w:rsidRPr="00254A0B">
              <w:rPr>
                <w:rFonts w:ascii="宋体" w:hAnsi="宋体" w:hint="eastAsia"/>
                <w:sz w:val="18"/>
                <w:szCs w:val="18"/>
              </w:rPr>
              <w:t>生活污水经化粪池处理后</w:t>
            </w:r>
            <w:r w:rsidR="006F0845">
              <w:rPr>
                <w:rFonts w:ascii="宋体" w:hAnsi="宋体" w:hint="eastAsia"/>
                <w:sz w:val="18"/>
                <w:szCs w:val="18"/>
              </w:rPr>
              <w:t>用于周边农田林地灌溉施肥；</w:t>
            </w:r>
            <w:bookmarkStart w:id="0" w:name="_GoBack"/>
            <w:r w:rsidR="00C50622" w:rsidRPr="00861018">
              <w:rPr>
                <w:rFonts w:ascii="宋体" w:hAnsi="宋体" w:hint="eastAsia"/>
                <w:color w:val="000000"/>
                <w:sz w:val="18"/>
                <w:szCs w:val="18"/>
              </w:rPr>
              <w:t>采场砂石分离废水及洗沙废水</w:t>
            </w:r>
            <w:r w:rsidR="00C50622" w:rsidRPr="00C50622">
              <w:rPr>
                <w:rFonts w:ascii="宋体" w:hAnsi="宋体" w:hint="eastAsia"/>
                <w:color w:val="000000"/>
                <w:sz w:val="18"/>
                <w:szCs w:val="18"/>
              </w:rPr>
              <w:t>通过多级沉淀池+砂滤池进行沉淀处理后</w:t>
            </w:r>
            <w:r w:rsidR="00F558CD">
              <w:rPr>
                <w:rFonts w:ascii="宋体" w:hAnsi="宋体" w:hint="eastAsia"/>
                <w:color w:val="000000"/>
                <w:sz w:val="18"/>
                <w:szCs w:val="18"/>
              </w:rPr>
              <w:t>达到</w:t>
            </w:r>
            <w:r w:rsidR="00F558CD" w:rsidRPr="00F558CD">
              <w:rPr>
                <w:rFonts w:ascii="宋体" w:hAnsi="宋体" w:hint="eastAsia"/>
                <w:color w:val="000000"/>
                <w:sz w:val="18"/>
                <w:szCs w:val="18"/>
              </w:rPr>
              <w:t>《污水综合排放标准》（GB8979-1996）一级标准限值要求</w:t>
            </w:r>
            <w:r w:rsidR="00F558CD">
              <w:rPr>
                <w:rFonts w:ascii="宋体" w:hAnsi="宋体" w:hint="eastAsia"/>
                <w:color w:val="000000"/>
                <w:sz w:val="18"/>
                <w:szCs w:val="18"/>
              </w:rPr>
              <w:t>后</w:t>
            </w:r>
            <w:r w:rsidR="00C50622" w:rsidRPr="00C50622">
              <w:rPr>
                <w:rFonts w:ascii="宋体" w:hAnsi="宋体" w:hint="eastAsia"/>
                <w:color w:val="000000"/>
                <w:sz w:val="18"/>
                <w:szCs w:val="18"/>
              </w:rPr>
              <w:t>排</w:t>
            </w:r>
            <w:r w:rsidR="00F558CD">
              <w:rPr>
                <w:rFonts w:ascii="宋体" w:hAnsi="宋体" w:hint="eastAsia"/>
                <w:color w:val="000000"/>
                <w:sz w:val="18"/>
                <w:szCs w:val="18"/>
              </w:rPr>
              <w:t>入</w:t>
            </w:r>
            <w:r w:rsidR="00C50622" w:rsidRPr="00C50622">
              <w:rPr>
                <w:rFonts w:ascii="宋体" w:hAnsi="宋体" w:hint="eastAsia"/>
                <w:color w:val="000000"/>
                <w:sz w:val="18"/>
                <w:szCs w:val="18"/>
              </w:rPr>
              <w:t>河流</w:t>
            </w:r>
            <w:r w:rsidR="00C50622">
              <w:rPr>
                <w:rFonts w:ascii="宋体" w:hAnsi="宋体" w:hint="eastAsia"/>
                <w:color w:val="000000"/>
                <w:sz w:val="18"/>
                <w:szCs w:val="18"/>
              </w:rPr>
              <w:t>；</w:t>
            </w:r>
            <w:r w:rsidR="00F558CD" w:rsidRPr="00861018">
              <w:rPr>
                <w:rFonts w:ascii="宋体" w:hAnsi="宋体" w:hint="eastAsia"/>
                <w:color w:val="000000"/>
                <w:sz w:val="18"/>
                <w:szCs w:val="18"/>
              </w:rPr>
              <w:t>采砂船及运砂船含油废水</w:t>
            </w:r>
            <w:r w:rsidR="00F558CD" w:rsidRPr="00F558CD">
              <w:rPr>
                <w:rFonts w:ascii="宋体" w:hAnsi="宋体" w:hint="eastAsia"/>
                <w:color w:val="000000"/>
                <w:sz w:val="18"/>
                <w:szCs w:val="18"/>
              </w:rPr>
              <w:t>利用专用容器收集盛装，定期转运至大河屯镇污水处理厂</w:t>
            </w:r>
            <w:r w:rsidR="00002513">
              <w:rPr>
                <w:rFonts w:ascii="宋体" w:hAnsi="宋体" w:hint="eastAsia"/>
                <w:color w:val="000000"/>
                <w:sz w:val="18"/>
                <w:szCs w:val="18"/>
              </w:rPr>
              <w:t>进一步</w:t>
            </w:r>
            <w:r w:rsidR="00F558CD" w:rsidRPr="00F558CD">
              <w:rPr>
                <w:rFonts w:ascii="宋体" w:hAnsi="宋体" w:hint="eastAsia"/>
                <w:color w:val="000000"/>
                <w:sz w:val="18"/>
                <w:szCs w:val="18"/>
              </w:rPr>
              <w:t>处理</w:t>
            </w:r>
            <w:r w:rsidR="00BD0A51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BD0A51" w:rsidRPr="00254A0B">
              <w:rPr>
                <w:rFonts w:ascii="宋体" w:hAnsi="宋体" w:hint="eastAsia"/>
                <w:color w:val="000000"/>
                <w:sz w:val="18"/>
                <w:szCs w:val="18"/>
              </w:rPr>
              <w:t>达到</w:t>
            </w:r>
            <w:r w:rsidR="00BD0A51" w:rsidRPr="00254A0B">
              <w:rPr>
                <w:bCs/>
                <w:sz w:val="18"/>
                <w:szCs w:val="18"/>
              </w:rPr>
              <w:t>《</w:t>
            </w:r>
            <w:r w:rsidR="00BD0A51" w:rsidRPr="00254A0B">
              <w:rPr>
                <w:rFonts w:hint="eastAsia"/>
                <w:bCs/>
                <w:sz w:val="18"/>
                <w:szCs w:val="18"/>
              </w:rPr>
              <w:t>城镇污水处理厂污染物</w:t>
            </w:r>
            <w:r w:rsidR="00BD0A51" w:rsidRPr="00254A0B">
              <w:rPr>
                <w:bCs/>
                <w:sz w:val="18"/>
                <w:szCs w:val="18"/>
              </w:rPr>
              <w:t>排放标准》（</w:t>
            </w:r>
            <w:r w:rsidR="00BD0A51" w:rsidRPr="00254A0B">
              <w:rPr>
                <w:bCs/>
                <w:sz w:val="18"/>
                <w:szCs w:val="18"/>
              </w:rPr>
              <w:t>GB</w:t>
            </w:r>
            <w:r w:rsidR="00BD0A51" w:rsidRPr="00254A0B">
              <w:rPr>
                <w:rFonts w:hint="eastAsia"/>
                <w:bCs/>
                <w:sz w:val="18"/>
                <w:szCs w:val="18"/>
              </w:rPr>
              <w:t>18918-2002</w:t>
            </w:r>
            <w:r w:rsidR="00BD0A51" w:rsidRPr="00254A0B">
              <w:rPr>
                <w:bCs/>
                <w:sz w:val="18"/>
                <w:szCs w:val="18"/>
              </w:rPr>
              <w:t>）</w:t>
            </w:r>
            <w:r w:rsidR="00BD0A51" w:rsidRPr="00254A0B">
              <w:rPr>
                <w:rFonts w:hint="eastAsia"/>
                <w:bCs/>
                <w:sz w:val="18"/>
                <w:szCs w:val="18"/>
              </w:rPr>
              <w:t>中</w:t>
            </w:r>
            <w:r w:rsidR="00BD0A51" w:rsidRPr="00254A0B">
              <w:rPr>
                <w:bCs/>
                <w:sz w:val="18"/>
                <w:szCs w:val="18"/>
              </w:rPr>
              <w:t>一级</w:t>
            </w:r>
            <w:r w:rsidR="00BD0A51">
              <w:rPr>
                <w:rFonts w:hint="eastAsia"/>
                <w:bCs/>
                <w:sz w:val="18"/>
                <w:szCs w:val="18"/>
              </w:rPr>
              <w:t>B</w:t>
            </w:r>
            <w:r w:rsidR="00BD0A51" w:rsidRPr="00254A0B">
              <w:rPr>
                <w:bCs/>
                <w:sz w:val="18"/>
                <w:szCs w:val="18"/>
              </w:rPr>
              <w:t>标准</w:t>
            </w:r>
            <w:r w:rsidR="00BD0A51" w:rsidRPr="00254A0B">
              <w:rPr>
                <w:rFonts w:hint="eastAsia"/>
                <w:bCs/>
                <w:sz w:val="18"/>
                <w:szCs w:val="18"/>
              </w:rPr>
              <w:t>后排</w:t>
            </w:r>
            <w:r w:rsidR="00BD0A51">
              <w:rPr>
                <w:rFonts w:hint="eastAsia"/>
                <w:bCs/>
                <w:sz w:val="18"/>
                <w:szCs w:val="18"/>
              </w:rPr>
              <w:t>入泌阳河</w:t>
            </w:r>
            <w:r w:rsidR="00F558CD"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  <w:bookmarkEnd w:id="0"/>
          <w:p w:rsidR="0003535E" w:rsidRPr="00465E0F" w:rsidRDefault="00082B46" w:rsidP="001039FD">
            <w:pPr>
              <w:pStyle w:val="a7"/>
              <w:spacing w:line="300" w:lineRule="exact"/>
              <w:ind w:firstLineChars="0" w:firstLine="0"/>
              <w:jc w:val="both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E52B56">
              <w:rPr>
                <w:rFonts w:ascii="Times New Roman" w:hAnsi="Times New Roman"/>
                <w:b/>
                <w:kern w:val="0"/>
                <w:sz w:val="18"/>
                <w:szCs w:val="18"/>
              </w:rPr>
              <w:t>2.</w:t>
            </w:r>
            <w:r w:rsidRPr="00E52B56">
              <w:rPr>
                <w:rFonts w:ascii="Times New Roman" w:hAnsi="Times New Roman"/>
                <w:b/>
                <w:kern w:val="0"/>
                <w:sz w:val="18"/>
                <w:szCs w:val="18"/>
              </w:rPr>
              <w:t>大气环境污染防治措施：</w:t>
            </w:r>
            <w:r w:rsidR="001039FD" w:rsidRPr="001039FD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主要</w:t>
            </w:r>
            <w:r w:rsidR="00BD0A51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为</w:t>
            </w:r>
            <w:r w:rsidR="00BD0A51" w:rsidRPr="00BD0A51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产品河沙及沉淀泥沙、分离废砂石料等堆存、装卸、转运过程中产生的少量粉尘，物料运输车辆产生的交通扬尘，以及燃油设备产生的燃油废气</w:t>
            </w:r>
            <w:r w:rsidR="00465E0F" w:rsidRPr="00465E0F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等。</w:t>
            </w:r>
          </w:p>
          <w:p w:rsidR="00465E0F" w:rsidRPr="00465E0F" w:rsidRDefault="00461106" w:rsidP="00461106">
            <w:pPr>
              <w:spacing w:line="300" w:lineRule="exact"/>
              <w:ind w:firstLineChars="200" w:firstLine="360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  <w:u w:val="single"/>
              </w:rPr>
            </w:pPr>
            <w:r w:rsidRPr="00461106">
              <w:rPr>
                <w:rFonts w:asciiTheme="minorEastAsia" w:eastAsiaTheme="minorEastAsia" w:hAnsiTheme="minorEastAsia" w:hint="eastAsia"/>
                <w:sz w:val="18"/>
                <w:szCs w:val="18"/>
              </w:rPr>
              <w:t>采砂区采砂过程产生的粉尘通过对开采区域洒水进行降尘；运输道路车辆动力扬尘通过设置洒水车定期洒水抑尘。本项目砂石加工筛分工序采用湿式作业，使用水进行喷淋，有效抑制粉尘产生；储运中心设置密闭砂石堆存库，库内设置喷淋装置抑制粉尘，采取库内装卸料等。</w:t>
            </w:r>
            <w:proofErr w:type="gramStart"/>
            <w:r w:rsidRPr="00461106">
              <w:rPr>
                <w:rFonts w:asciiTheme="minorEastAsia" w:eastAsiaTheme="minorEastAsia" w:hAnsiTheme="minorEastAsia" w:hint="eastAsia"/>
                <w:sz w:val="18"/>
                <w:szCs w:val="18"/>
              </w:rPr>
              <w:t>经预测</w:t>
            </w:r>
            <w:proofErr w:type="gramEnd"/>
            <w:r w:rsidRPr="00461106">
              <w:rPr>
                <w:rFonts w:asciiTheme="minorEastAsia" w:eastAsiaTheme="minorEastAsia" w:hAnsiTheme="minorEastAsia" w:hint="eastAsia"/>
                <w:sz w:val="18"/>
                <w:szCs w:val="18"/>
              </w:rPr>
              <w:t>厂界周边无组织颗粒物的浓度满足《大气污染物综合排放标准》（GB16297-1996）表2颗粒物（其它）无组织排放监控浓度限值：周界外浓度最高点：1.0mg/m</w:t>
            </w:r>
            <w:r w:rsidRPr="000E472F">
              <w:rPr>
                <w:rFonts w:asciiTheme="minorEastAsia" w:eastAsiaTheme="minorEastAsia" w:hAnsiTheme="minorEastAsia" w:hint="eastAsia"/>
                <w:sz w:val="18"/>
                <w:szCs w:val="18"/>
                <w:vertAlign w:val="superscript"/>
              </w:rPr>
              <w:t>3</w:t>
            </w:r>
            <w:r w:rsidRPr="00461106">
              <w:rPr>
                <w:rFonts w:asciiTheme="minorEastAsia" w:eastAsiaTheme="minorEastAsia" w:hAnsiTheme="minorEastAsia" w:hint="eastAsia"/>
                <w:sz w:val="18"/>
                <w:szCs w:val="18"/>
              </w:rPr>
              <w:t>的要求</w:t>
            </w:r>
            <w:r w:rsidR="00465E0F" w:rsidRPr="00465E0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。</w:t>
            </w:r>
          </w:p>
          <w:p w:rsidR="00461106" w:rsidRDefault="00082B46" w:rsidP="001039FD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2B56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3.</w:t>
            </w:r>
            <w:r w:rsidRPr="00E52B56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噪声污染防治措施：</w:t>
            </w:r>
            <w:r w:rsidR="00461106">
              <w:rPr>
                <w:rFonts w:asciiTheme="minorEastAsia" w:eastAsiaTheme="minorEastAsia" w:hAnsiTheme="minorEastAsia" w:hint="eastAsia"/>
                <w:sz w:val="18"/>
                <w:szCs w:val="18"/>
              </w:rPr>
              <w:t>主要为工程设备运行时产生的噪声。通过基础减震</w:t>
            </w:r>
            <w:r w:rsidR="00236F3E" w:rsidRPr="00236F3E">
              <w:rPr>
                <w:rFonts w:asciiTheme="minorEastAsia" w:eastAsiaTheme="minorEastAsia" w:hAnsiTheme="minorEastAsia" w:hint="eastAsia"/>
                <w:sz w:val="18"/>
                <w:szCs w:val="18"/>
              </w:rPr>
              <w:t>、安装消声器等治理措施，</w:t>
            </w:r>
            <w:r w:rsidR="00461106">
              <w:rPr>
                <w:rFonts w:asciiTheme="minorEastAsia" w:eastAsiaTheme="minorEastAsia" w:hAnsiTheme="minorEastAsia" w:hint="eastAsia"/>
                <w:sz w:val="18"/>
                <w:szCs w:val="18"/>
              </w:rPr>
              <w:t>项目</w:t>
            </w:r>
            <w:r w:rsidR="00236F3E" w:rsidRPr="00236F3E">
              <w:rPr>
                <w:rFonts w:asciiTheme="minorEastAsia" w:eastAsiaTheme="minorEastAsia" w:hAnsiTheme="minorEastAsia" w:hint="eastAsia"/>
                <w:sz w:val="18"/>
                <w:szCs w:val="18"/>
              </w:rPr>
              <w:t>四周厂界噪声均能满足《工业企业厂界环境噪声排放标准》（</w:t>
            </w:r>
            <w:r w:rsidR="00236F3E" w:rsidRPr="00236F3E">
              <w:rPr>
                <w:rFonts w:asciiTheme="minorEastAsia" w:eastAsiaTheme="minorEastAsia" w:hAnsiTheme="minorEastAsia"/>
                <w:sz w:val="18"/>
                <w:szCs w:val="18"/>
              </w:rPr>
              <w:t>GB12348-2008</w:t>
            </w:r>
            <w:r w:rsidR="00236F3E" w:rsidRPr="00236F3E">
              <w:rPr>
                <w:rFonts w:asciiTheme="minorEastAsia" w:eastAsiaTheme="minorEastAsia" w:hAnsiTheme="minorEastAsia" w:hint="eastAsia"/>
                <w:sz w:val="18"/>
                <w:szCs w:val="18"/>
              </w:rPr>
              <w:t>）中</w:t>
            </w:r>
            <w:r w:rsidR="00236F3E" w:rsidRPr="00236F3E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="00236F3E" w:rsidRPr="00236F3E">
              <w:rPr>
                <w:rFonts w:asciiTheme="minorEastAsia" w:eastAsiaTheme="minorEastAsia" w:hAnsiTheme="minorEastAsia" w:hint="eastAsia"/>
                <w:sz w:val="18"/>
                <w:szCs w:val="18"/>
              </w:rPr>
              <w:t>类标准限值要求</w:t>
            </w:r>
            <w:r w:rsidR="00461106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A75F6E" w:rsidRPr="00236F3E" w:rsidRDefault="000E472F" w:rsidP="001039FD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472F">
              <w:rPr>
                <w:rFonts w:asciiTheme="minorEastAsia" w:eastAsiaTheme="minorEastAsia" w:hAnsiTheme="minorEastAsia" w:hint="eastAsia"/>
                <w:sz w:val="18"/>
                <w:szCs w:val="18"/>
              </w:rPr>
              <w:t>采区、堆场</w:t>
            </w:r>
            <w:proofErr w:type="gramStart"/>
            <w:r w:rsidRPr="000E472F">
              <w:rPr>
                <w:rFonts w:asciiTheme="minorEastAsia" w:eastAsiaTheme="minorEastAsia" w:hAnsiTheme="minorEastAsia" w:hint="eastAsia"/>
                <w:sz w:val="18"/>
                <w:szCs w:val="18"/>
              </w:rPr>
              <w:t>四周声</w:t>
            </w:r>
            <w:proofErr w:type="gramEnd"/>
            <w:r w:rsidRPr="000E472F">
              <w:rPr>
                <w:rFonts w:asciiTheme="minorEastAsia" w:eastAsiaTheme="minorEastAsia" w:hAnsiTheme="minorEastAsia" w:hint="eastAsia"/>
                <w:sz w:val="18"/>
                <w:szCs w:val="18"/>
              </w:rPr>
              <w:t>环境敏感点及运输</w:t>
            </w:r>
            <w:proofErr w:type="gramStart"/>
            <w:r w:rsidRPr="000E472F">
              <w:rPr>
                <w:rFonts w:asciiTheme="minorEastAsia" w:eastAsiaTheme="minorEastAsia" w:hAnsiTheme="minorEastAsia" w:hint="eastAsia"/>
                <w:sz w:val="18"/>
                <w:szCs w:val="18"/>
              </w:rPr>
              <w:t>沿线声</w:t>
            </w:r>
            <w:proofErr w:type="gramEnd"/>
            <w:r w:rsidRPr="000E472F">
              <w:rPr>
                <w:rFonts w:asciiTheme="minorEastAsia" w:eastAsiaTheme="minorEastAsia" w:hAnsiTheme="minorEastAsia" w:hint="eastAsia"/>
                <w:sz w:val="18"/>
                <w:szCs w:val="18"/>
              </w:rPr>
              <w:t>环境敏感点噪声预测值均可满足《声环境质量标准》（GB3096-2008）2类区限值要求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082B46" w:rsidRPr="001039FD" w:rsidRDefault="00082B46" w:rsidP="000E472F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2B56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4.</w:t>
            </w:r>
            <w:r w:rsidRPr="00E52B56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固体废物污染防治措施：</w:t>
            </w:r>
            <w:r w:rsidR="000E472F" w:rsidRPr="000E472F">
              <w:rPr>
                <w:rFonts w:asciiTheme="minorEastAsia" w:eastAsiaTheme="minorEastAsia" w:hAnsiTheme="minorEastAsia" w:hint="eastAsia"/>
                <w:sz w:val="18"/>
                <w:szCs w:val="18"/>
              </w:rPr>
              <w:t>项目产生的采沙废料收集后外</w:t>
            </w:r>
            <w:proofErr w:type="gramStart"/>
            <w:r w:rsidR="000E472F" w:rsidRPr="000E472F">
              <w:rPr>
                <w:rFonts w:asciiTheme="minorEastAsia" w:eastAsiaTheme="minorEastAsia" w:hAnsiTheme="minorEastAsia" w:hint="eastAsia"/>
                <w:sz w:val="18"/>
                <w:szCs w:val="18"/>
              </w:rPr>
              <w:t>售作为机制砂</w:t>
            </w:r>
            <w:proofErr w:type="gramEnd"/>
            <w:r w:rsidR="000E472F" w:rsidRPr="000E472F">
              <w:rPr>
                <w:rFonts w:asciiTheme="minorEastAsia" w:eastAsiaTheme="minorEastAsia" w:hAnsiTheme="minorEastAsia" w:hint="eastAsia"/>
                <w:sz w:val="18"/>
                <w:szCs w:val="18"/>
              </w:rPr>
              <w:t>生产原料；废水沉淀泥沙转运制砖厂作为生产原料资源化利用；打捞垃圾收集后与生活垃圾利用垃圾桶收集后交环卫部门处理；废机油收集后委托有资质单位处置。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6231FF" w:rsidRPr="006231FF" w:rsidRDefault="00082B46" w:rsidP="001039FD">
            <w:pPr>
              <w:pStyle w:val="a8"/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231FF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拟建项目在评价过程中进行了</w:t>
            </w:r>
            <w:r w:rsidR="00F8757A" w:rsidRPr="006231FF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两次网上公示、</w:t>
            </w:r>
            <w:r w:rsidR="0010566B" w:rsidRPr="006231FF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</w:t>
            </w:r>
            <w:r w:rsidR="0010566B" w:rsidRPr="006231FF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次报纸公示</w:t>
            </w:r>
            <w:r w:rsidRPr="006231FF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等形式开展公众意见调查</w:t>
            </w:r>
            <w:r w:rsidR="0091587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，</w:t>
            </w:r>
            <w:r w:rsidR="006231FF" w:rsidRPr="006231FF">
              <w:rPr>
                <w:rFonts w:ascii="Times New Roman" w:hAnsi="Times New Roman" w:cs="Times New Roman" w:hint="eastAsia"/>
                <w:sz w:val="18"/>
                <w:szCs w:val="18"/>
                <w:lang w:val="en-US"/>
              </w:rPr>
              <w:t>在公示期间，建设单位及环评单位</w:t>
            </w:r>
            <w:r w:rsidR="006231FF" w:rsidRPr="006231FF">
              <w:rPr>
                <w:rFonts w:ascii="Times New Roman" w:hAnsi="Times New Roman" w:cs="Times New Roman"/>
                <w:kern w:val="2"/>
                <w:sz w:val="18"/>
                <w:szCs w:val="18"/>
                <w:lang w:val="en-US" w:bidi="ar-SA"/>
              </w:rPr>
              <w:t>未收到公众电话、电子邮件等方式的反馈意见，</w:t>
            </w:r>
            <w:r w:rsidR="006231FF" w:rsidRPr="006231FF">
              <w:rPr>
                <w:rFonts w:ascii="Times New Roman" w:hAnsi="Times New Roman" w:cs="Times New Roman" w:hint="eastAsia"/>
                <w:kern w:val="2"/>
                <w:sz w:val="18"/>
                <w:szCs w:val="18"/>
                <w:lang w:val="en-US" w:bidi="ar-SA"/>
              </w:rPr>
              <w:t>也</w:t>
            </w:r>
            <w:r w:rsidR="006231FF" w:rsidRPr="006231FF">
              <w:rPr>
                <w:rFonts w:ascii="Times New Roman" w:hAnsi="Times New Roman" w:cs="Times New Roman" w:hint="eastAsia"/>
                <w:sz w:val="18"/>
                <w:szCs w:val="18"/>
                <w:lang w:val="en-US"/>
              </w:rPr>
              <w:t>未收到建设项目环境影响评价公众意见表的反馈</w:t>
            </w:r>
            <w:r w:rsidR="006231FF" w:rsidRPr="006231FF">
              <w:rPr>
                <w:rFonts w:ascii="Times New Roman" w:hAnsi="Times New Roman" w:cs="Times New Roman"/>
                <w:sz w:val="18"/>
                <w:szCs w:val="18"/>
              </w:rPr>
              <w:t>。</w:t>
            </w:r>
          </w:p>
          <w:p w:rsidR="00082B46" w:rsidRPr="0034349D" w:rsidRDefault="00082B46" w:rsidP="001039FD">
            <w:pPr>
              <w:spacing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D10446" w:rsidRPr="000D3DE9" w:rsidRDefault="00D10446"/>
    <w:sectPr w:rsidR="00D10446" w:rsidRPr="000D3DE9" w:rsidSect="000D3DE9">
      <w:headerReference w:type="default" r:id="rId7"/>
      <w:pgSz w:w="16839" w:h="11907" w:orient="landscape" w:code="9"/>
      <w:pgMar w:top="1440" w:right="1080" w:bottom="1440" w:left="1080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451" w:rsidRDefault="00B00451">
      <w:r>
        <w:separator/>
      </w:r>
    </w:p>
  </w:endnote>
  <w:endnote w:type="continuationSeparator" w:id="0">
    <w:p w:rsidR="00B00451" w:rsidRDefault="00B0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451" w:rsidRDefault="00B00451">
      <w:r>
        <w:separator/>
      </w:r>
    </w:p>
  </w:footnote>
  <w:footnote w:type="continuationSeparator" w:id="0">
    <w:p w:rsidR="00B00451" w:rsidRDefault="00B00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42F" w:rsidRDefault="00B00451" w:rsidP="00EC742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41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A5"/>
    <w:rsid w:val="00002513"/>
    <w:rsid w:val="00025361"/>
    <w:rsid w:val="0003535E"/>
    <w:rsid w:val="0004478C"/>
    <w:rsid w:val="00044A5C"/>
    <w:rsid w:val="0005101D"/>
    <w:rsid w:val="00082B46"/>
    <w:rsid w:val="000B0494"/>
    <w:rsid w:val="000C20FB"/>
    <w:rsid w:val="000D3DE9"/>
    <w:rsid w:val="000E472F"/>
    <w:rsid w:val="000F3FF3"/>
    <w:rsid w:val="001039FD"/>
    <w:rsid w:val="0010566B"/>
    <w:rsid w:val="00125A03"/>
    <w:rsid w:val="00146C66"/>
    <w:rsid w:val="00160085"/>
    <w:rsid w:val="00161D68"/>
    <w:rsid w:val="001707F3"/>
    <w:rsid w:val="00174125"/>
    <w:rsid w:val="00181A75"/>
    <w:rsid w:val="00190E14"/>
    <w:rsid w:val="001A04C0"/>
    <w:rsid w:val="001A171A"/>
    <w:rsid w:val="001C1234"/>
    <w:rsid w:val="001E0EAC"/>
    <w:rsid w:val="00211570"/>
    <w:rsid w:val="00211620"/>
    <w:rsid w:val="0021192C"/>
    <w:rsid w:val="0023151E"/>
    <w:rsid w:val="00236F3E"/>
    <w:rsid w:val="00254A0B"/>
    <w:rsid w:val="00267A54"/>
    <w:rsid w:val="002800E7"/>
    <w:rsid w:val="002854BA"/>
    <w:rsid w:val="00291078"/>
    <w:rsid w:val="002D239B"/>
    <w:rsid w:val="002E19B9"/>
    <w:rsid w:val="002F5624"/>
    <w:rsid w:val="003004DD"/>
    <w:rsid w:val="003006B5"/>
    <w:rsid w:val="00302419"/>
    <w:rsid w:val="0034349D"/>
    <w:rsid w:val="00350245"/>
    <w:rsid w:val="00350690"/>
    <w:rsid w:val="003633D2"/>
    <w:rsid w:val="0039064D"/>
    <w:rsid w:val="003A1B70"/>
    <w:rsid w:val="003A63BE"/>
    <w:rsid w:val="003B2CA5"/>
    <w:rsid w:val="003B51D0"/>
    <w:rsid w:val="00402F8C"/>
    <w:rsid w:val="00411895"/>
    <w:rsid w:val="00446963"/>
    <w:rsid w:val="00461106"/>
    <w:rsid w:val="004625CC"/>
    <w:rsid w:val="00464FC2"/>
    <w:rsid w:val="00465E0F"/>
    <w:rsid w:val="00467C6A"/>
    <w:rsid w:val="004C47C2"/>
    <w:rsid w:val="004D6026"/>
    <w:rsid w:val="00504244"/>
    <w:rsid w:val="00542F91"/>
    <w:rsid w:val="00572872"/>
    <w:rsid w:val="00580018"/>
    <w:rsid w:val="005B5987"/>
    <w:rsid w:val="005C21F9"/>
    <w:rsid w:val="005C6F7E"/>
    <w:rsid w:val="005E4944"/>
    <w:rsid w:val="005E5673"/>
    <w:rsid w:val="005F13F4"/>
    <w:rsid w:val="00605789"/>
    <w:rsid w:val="006078A6"/>
    <w:rsid w:val="006159C6"/>
    <w:rsid w:val="006231FF"/>
    <w:rsid w:val="00627DEF"/>
    <w:rsid w:val="00650307"/>
    <w:rsid w:val="00656D20"/>
    <w:rsid w:val="00657005"/>
    <w:rsid w:val="006B06CC"/>
    <w:rsid w:val="006B2D80"/>
    <w:rsid w:val="006B5306"/>
    <w:rsid w:val="006C1E38"/>
    <w:rsid w:val="006C5B93"/>
    <w:rsid w:val="006E2DAE"/>
    <w:rsid w:val="006F0845"/>
    <w:rsid w:val="006F0A17"/>
    <w:rsid w:val="006F1A9C"/>
    <w:rsid w:val="00700A29"/>
    <w:rsid w:val="00704299"/>
    <w:rsid w:val="00745076"/>
    <w:rsid w:val="00791C36"/>
    <w:rsid w:val="007A346B"/>
    <w:rsid w:val="007A67B9"/>
    <w:rsid w:val="007D5E16"/>
    <w:rsid w:val="007E2743"/>
    <w:rsid w:val="007E3558"/>
    <w:rsid w:val="007E636A"/>
    <w:rsid w:val="007F3638"/>
    <w:rsid w:val="007F573E"/>
    <w:rsid w:val="0080031F"/>
    <w:rsid w:val="00803001"/>
    <w:rsid w:val="00816275"/>
    <w:rsid w:val="00823697"/>
    <w:rsid w:val="00826D35"/>
    <w:rsid w:val="0083285D"/>
    <w:rsid w:val="00861018"/>
    <w:rsid w:val="008755BD"/>
    <w:rsid w:val="008A13A6"/>
    <w:rsid w:val="008B10C3"/>
    <w:rsid w:val="008C22FB"/>
    <w:rsid w:val="008F2CE0"/>
    <w:rsid w:val="009100A5"/>
    <w:rsid w:val="00910D01"/>
    <w:rsid w:val="00915873"/>
    <w:rsid w:val="00920F3A"/>
    <w:rsid w:val="00926A8D"/>
    <w:rsid w:val="0093717B"/>
    <w:rsid w:val="009434F2"/>
    <w:rsid w:val="009469B6"/>
    <w:rsid w:val="009640C0"/>
    <w:rsid w:val="009659B3"/>
    <w:rsid w:val="00974765"/>
    <w:rsid w:val="009D4D44"/>
    <w:rsid w:val="00A14BA0"/>
    <w:rsid w:val="00A1702F"/>
    <w:rsid w:val="00A41DF4"/>
    <w:rsid w:val="00A44169"/>
    <w:rsid w:val="00A75F6E"/>
    <w:rsid w:val="00AB5EBC"/>
    <w:rsid w:val="00AF610A"/>
    <w:rsid w:val="00B00451"/>
    <w:rsid w:val="00B2329C"/>
    <w:rsid w:val="00B3060F"/>
    <w:rsid w:val="00B31558"/>
    <w:rsid w:val="00B41A4A"/>
    <w:rsid w:val="00B42802"/>
    <w:rsid w:val="00B52429"/>
    <w:rsid w:val="00B547E1"/>
    <w:rsid w:val="00B569A8"/>
    <w:rsid w:val="00B6514B"/>
    <w:rsid w:val="00B71767"/>
    <w:rsid w:val="00B75F6F"/>
    <w:rsid w:val="00BB097D"/>
    <w:rsid w:val="00BB244C"/>
    <w:rsid w:val="00BB7AF0"/>
    <w:rsid w:val="00BC1CE4"/>
    <w:rsid w:val="00BD0A51"/>
    <w:rsid w:val="00BD41CE"/>
    <w:rsid w:val="00BE1167"/>
    <w:rsid w:val="00BE1708"/>
    <w:rsid w:val="00BF78B7"/>
    <w:rsid w:val="00C028B0"/>
    <w:rsid w:val="00C14320"/>
    <w:rsid w:val="00C30035"/>
    <w:rsid w:val="00C32DF0"/>
    <w:rsid w:val="00C34CFB"/>
    <w:rsid w:val="00C50622"/>
    <w:rsid w:val="00C7124E"/>
    <w:rsid w:val="00C72944"/>
    <w:rsid w:val="00CA6224"/>
    <w:rsid w:val="00CB639F"/>
    <w:rsid w:val="00CC445F"/>
    <w:rsid w:val="00CD5C9E"/>
    <w:rsid w:val="00CF35C7"/>
    <w:rsid w:val="00D10446"/>
    <w:rsid w:val="00D172C8"/>
    <w:rsid w:val="00D200B2"/>
    <w:rsid w:val="00D2013B"/>
    <w:rsid w:val="00D44F74"/>
    <w:rsid w:val="00D45A6B"/>
    <w:rsid w:val="00D628FE"/>
    <w:rsid w:val="00D720E0"/>
    <w:rsid w:val="00D95453"/>
    <w:rsid w:val="00D958E0"/>
    <w:rsid w:val="00DB01D9"/>
    <w:rsid w:val="00DC4600"/>
    <w:rsid w:val="00DD25A9"/>
    <w:rsid w:val="00DD4682"/>
    <w:rsid w:val="00DE1F76"/>
    <w:rsid w:val="00DF7B79"/>
    <w:rsid w:val="00E15CB0"/>
    <w:rsid w:val="00E324D1"/>
    <w:rsid w:val="00E410A5"/>
    <w:rsid w:val="00E41448"/>
    <w:rsid w:val="00E52B56"/>
    <w:rsid w:val="00E66595"/>
    <w:rsid w:val="00EB5786"/>
    <w:rsid w:val="00ED2523"/>
    <w:rsid w:val="00F0056A"/>
    <w:rsid w:val="00F11522"/>
    <w:rsid w:val="00F274D2"/>
    <w:rsid w:val="00F27C91"/>
    <w:rsid w:val="00F54C92"/>
    <w:rsid w:val="00F558CD"/>
    <w:rsid w:val="00F61741"/>
    <w:rsid w:val="00F81276"/>
    <w:rsid w:val="00F83F1B"/>
    <w:rsid w:val="00F86888"/>
    <w:rsid w:val="00F8757A"/>
    <w:rsid w:val="00F87AE6"/>
    <w:rsid w:val="00FD31AC"/>
    <w:rsid w:val="00FE7918"/>
    <w:rsid w:val="00FF0D55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DE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DE9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D25A9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9434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7">
    <w:name w:val="正文一"/>
    <w:basedOn w:val="a"/>
    <w:qFormat/>
    <w:rsid w:val="0003535E"/>
    <w:pPr>
      <w:spacing w:line="360" w:lineRule="auto"/>
      <w:ind w:firstLineChars="200" w:firstLine="480"/>
      <w:jc w:val="left"/>
    </w:pPr>
    <w:rPr>
      <w:rFonts w:ascii="宋体" w:hAnsi="宋体"/>
      <w:color w:val="000000"/>
      <w:sz w:val="24"/>
      <w:szCs w:val="21"/>
    </w:rPr>
  </w:style>
  <w:style w:type="paragraph" w:styleId="a8">
    <w:name w:val="Body Text"/>
    <w:basedOn w:val="a"/>
    <w:link w:val="Char1"/>
    <w:uiPriority w:val="1"/>
    <w:qFormat/>
    <w:rsid w:val="006231FF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character" w:customStyle="1" w:styleId="Char1">
    <w:name w:val="正文文本 Char"/>
    <w:basedOn w:val="a0"/>
    <w:link w:val="a8"/>
    <w:uiPriority w:val="1"/>
    <w:rsid w:val="006231FF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DE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DE9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D25A9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9434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7">
    <w:name w:val="正文一"/>
    <w:basedOn w:val="a"/>
    <w:qFormat/>
    <w:rsid w:val="0003535E"/>
    <w:pPr>
      <w:spacing w:line="360" w:lineRule="auto"/>
      <w:ind w:firstLineChars="200" w:firstLine="480"/>
      <w:jc w:val="left"/>
    </w:pPr>
    <w:rPr>
      <w:rFonts w:ascii="宋体" w:hAnsi="宋体"/>
      <w:color w:val="000000"/>
      <w:sz w:val="24"/>
      <w:szCs w:val="21"/>
    </w:rPr>
  </w:style>
  <w:style w:type="paragraph" w:styleId="a8">
    <w:name w:val="Body Text"/>
    <w:basedOn w:val="a"/>
    <w:link w:val="Char1"/>
    <w:uiPriority w:val="1"/>
    <w:qFormat/>
    <w:rsid w:val="006231FF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character" w:customStyle="1" w:styleId="Char1">
    <w:name w:val="正文文本 Char"/>
    <w:basedOn w:val="a0"/>
    <w:link w:val="a8"/>
    <w:uiPriority w:val="1"/>
    <w:rsid w:val="006231FF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205</Words>
  <Characters>1169</Characters>
  <Application>Microsoft Office Word</Application>
  <DocSecurity>0</DocSecurity>
  <Lines>9</Lines>
  <Paragraphs>2</Paragraphs>
  <ScaleCrop>false</ScaleCrop>
  <Company>Lenovo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pgos</cp:lastModifiedBy>
  <cp:revision>52</cp:revision>
  <dcterms:created xsi:type="dcterms:W3CDTF">2016-01-15T08:15:00Z</dcterms:created>
  <dcterms:modified xsi:type="dcterms:W3CDTF">2020-07-24T08:48:00Z</dcterms:modified>
</cp:coreProperties>
</file>