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940" w:type="dxa"/>
        <w:jc w:val="center"/>
        <w:tblInd w:w="0" w:type="dxa"/>
        <w:tblLayout w:type="fixed"/>
        <w:tblCellMar>
          <w:top w:w="0" w:type="dxa"/>
          <w:left w:w="108" w:type="dxa"/>
          <w:bottom w:w="0" w:type="dxa"/>
          <w:right w:w="108" w:type="dxa"/>
        </w:tblCellMar>
      </w:tblPr>
      <w:tblGrid>
        <w:gridCol w:w="1720"/>
        <w:gridCol w:w="1360"/>
        <w:gridCol w:w="1360"/>
        <w:gridCol w:w="1400"/>
        <w:gridCol w:w="2500"/>
        <w:gridCol w:w="7600"/>
      </w:tblGrid>
      <w:tr>
        <w:tblPrEx>
          <w:tblLayout w:type="fixed"/>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bookmarkStart w:id="0" w:name="RANGE!A1:F2"/>
            <w:r>
              <w:rPr>
                <w:rFonts w:hint="eastAsia" w:ascii="宋体" w:hAnsi="宋体" w:eastAsia="宋体" w:cs="宋体"/>
                <w:sz w:val="28"/>
                <w:szCs w:val="28"/>
              </w:rPr>
              <w:t>项目名称</w:t>
            </w:r>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环境影响评价机构</w:t>
            </w:r>
          </w:p>
        </w:tc>
        <w:tc>
          <w:tcPr>
            <w:tcW w:w="25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建设项目概况</w:t>
            </w:r>
          </w:p>
        </w:tc>
        <w:tc>
          <w:tcPr>
            <w:tcW w:w="7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主要环境影响及预防或减轻不良环境影响的对策和措施</w:t>
            </w:r>
          </w:p>
        </w:tc>
      </w:tr>
      <w:tr>
        <w:tblPrEx>
          <w:tblLayout w:type="fixed"/>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唐河县毕店30MW分散式风电项目</w:t>
            </w:r>
          </w:p>
        </w:tc>
        <w:tc>
          <w:tcPr>
            <w:tcW w:w="136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唐河县文峰街道北京大道中段</w:t>
            </w:r>
          </w:p>
        </w:tc>
        <w:tc>
          <w:tcPr>
            <w:tcW w:w="136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河南国绿新能源科技有限公司</w:t>
            </w:r>
          </w:p>
        </w:tc>
        <w:tc>
          <w:tcPr>
            <w:tcW w:w="14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河北安怀环保科技有限公司</w:t>
            </w:r>
          </w:p>
        </w:tc>
        <w:tc>
          <w:tcPr>
            <w:tcW w:w="25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国绿新能源科技有限公司拟投资26708万元，于南阳市唐河县东部风电场距至唐河县公路距离约31km，建设30MW分散式风电项目。本工程拟安装10台单机容量为3000KW的风电机组，总装机容量30MW，配套建设一座35KV开关站、道路、风电基础及集成电路等，预计年上网发电量为6597万kW·h。</w:t>
            </w:r>
          </w:p>
        </w:tc>
        <w:tc>
          <w:tcPr>
            <w:tcW w:w="76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大气环境</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生产期间无工艺废气污染源，主要是食堂油烟废气。食堂拟采用电能作为日常餐饮烹饪的能源，食堂在烹饪炒作时将产生油烟废气。经计算职工食堂油烟产生量4.5g/d。项目设1个基准灶头，单灶风量1000m3/h。日排烟按照2h计算，则油烟的排放量为2.25g/h，油烟产生浓度约2.25mg/m3。环评建议，职工食堂油烟经集气收集至1套净化效率不低于90%的油烟净化设施处理后经专用油烟管道引至高于楼顶排放，经处理后油烟排放浓度为0.225mg/m3，可以满足</w:t>
            </w:r>
            <w:r>
              <w:rPr>
                <w:rFonts w:hint="eastAsia" w:ascii="Times New Roman" w:hAnsi="Times New Roman" w:eastAsia="宋体" w:cs="Times New Roman"/>
                <w:sz w:val="24"/>
                <w:szCs w:val="24"/>
                <w:lang w:val="en-GB" w:eastAsia="zh-CN"/>
              </w:rPr>
              <w:t>《餐饮业油烟污染物排放标准》（DB41/1604-2018）的标准限值要求</w:t>
            </w:r>
            <w:r>
              <w:rPr>
                <w:rFonts w:hint="eastAsia" w:ascii="Times New Roman" w:hAnsi="Times New Roman" w:eastAsia="宋体" w:cs="Times New Roman"/>
                <w:sz w:val="24"/>
                <w:szCs w:val="24"/>
                <w:lang w:val="en-US" w:eastAsia="zh-CN"/>
              </w:rPr>
              <w:t>，对周围大气环境影响较小。</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项目营运期无生产废水，主要为职工生活污水。</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营运期劳动定员5人，在开关站内食宿；生活污水产生量为0.4m3/d。生活污水中主要污染物为COD、NH3-N、SS等，产生浓度分别为350mg/L、30mg/L、270mg/L。职工生活污水经站内配套建设的化粪池（容积5m3）处理后用于周围农田施肥，综合利用，项目营运期产生的职工生活污水不会对区域水环境产生明显不良影响。</w:t>
            </w:r>
          </w:p>
          <w:p>
            <w:pPr>
              <w:numPr>
                <w:ilvl w:val="0"/>
                <w:numId w:val="0"/>
              </w:numPr>
              <w:adjustRightInd/>
              <w:snapToGrid/>
              <w:spacing w:after="0"/>
              <w:rPr>
                <w:rFonts w:hint="eastAsia" w:ascii="Times New Roman" w:hAnsi="Times New Roman" w:eastAsia="宋体" w:cs="Times New Roman"/>
                <w:sz w:val="24"/>
                <w:szCs w:val="24"/>
                <w:lang w:val="en-US" w:eastAsia="zh-CN"/>
              </w:rPr>
            </w:pP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营运期噪声主要为风机叶轮转动产生的机械噪声、箱式变压器运行产生的噪声及升压站主变噪声。本项目拟通过选用低噪声的设备， 并针对各机械振动噪声和空气动力性噪声的不同特征，采取隔声、减震、声屏障等措施 降噪。经预测，项目噪声源对周围村庄的声环境影响较小。</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4、固体废物                                            </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项目营运期固体废物主要为职工生活垃圾、化粪池污泥、开关站废变压器油、风机废润滑油。</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职工生活垃圾集中收集至垃圾箱内，交由环卫部门运至垃圾中转站处理；化粪池污泥定期清掏，用于周围农田施肥；废变压器油及废润滑油属于危险废物，集中收集后暂存于站内危废暂存间（设置四防措施）内，定期送具有相应危险废物处理资质的单位进行处理。</w:t>
            </w:r>
          </w:p>
          <w:p>
            <w:pPr>
              <w:adjustRightInd/>
              <w:snapToGrid/>
              <w:spacing w:after="0"/>
              <w:rPr>
                <w:rFonts w:ascii="宋体" w:hAnsi="宋体" w:eastAsia="宋体" w:cs="宋体"/>
                <w:sz w:val="24"/>
                <w:szCs w:val="24"/>
              </w:rPr>
            </w:pPr>
          </w:p>
        </w:tc>
      </w:tr>
    </w:tbl>
    <w:p>
      <w:pPr>
        <w:spacing w:line="220" w:lineRule="atLeast"/>
      </w:pPr>
    </w:p>
    <w:p>
      <w:pPr>
        <w:pStyle w:val="2"/>
      </w:pPr>
    </w:p>
    <w:p>
      <w:pPr>
        <w:pStyle w:val="2"/>
      </w:pPr>
    </w:p>
    <w:p>
      <w:pPr>
        <w:pStyle w:val="2"/>
        <w:sectPr>
          <w:pgSz w:w="16838" w:h="11906" w:orient="landscape"/>
          <w:pgMar w:top="1797" w:right="851" w:bottom="1797" w:left="851" w:header="709" w:footer="709" w:gutter="0"/>
          <w:cols w:space="708" w:num="1"/>
          <w:docGrid w:linePitch="360" w:charSpace="0"/>
        </w:sectPr>
      </w:pPr>
    </w:p>
    <w:tbl>
      <w:tblPr>
        <w:tblStyle w:val="6"/>
        <w:tblW w:w="15940" w:type="dxa"/>
        <w:jc w:val="center"/>
        <w:tblInd w:w="0" w:type="dxa"/>
        <w:tblLayout w:type="fixed"/>
        <w:tblCellMar>
          <w:top w:w="0" w:type="dxa"/>
          <w:left w:w="108" w:type="dxa"/>
          <w:bottom w:w="0" w:type="dxa"/>
          <w:right w:w="108" w:type="dxa"/>
        </w:tblCellMar>
      </w:tblPr>
      <w:tblGrid>
        <w:gridCol w:w="1720"/>
        <w:gridCol w:w="1360"/>
        <w:gridCol w:w="1360"/>
        <w:gridCol w:w="1400"/>
        <w:gridCol w:w="2500"/>
        <w:gridCol w:w="7600"/>
      </w:tblGrid>
      <w:tr>
        <w:tblPrEx>
          <w:tblLayout w:type="fixed"/>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项目名称</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环境影响评价机构</w:t>
            </w:r>
          </w:p>
        </w:tc>
        <w:tc>
          <w:tcPr>
            <w:tcW w:w="25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建设项目概况</w:t>
            </w:r>
          </w:p>
        </w:tc>
        <w:tc>
          <w:tcPr>
            <w:tcW w:w="76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8"/>
                <w:szCs w:val="28"/>
              </w:rPr>
            </w:pPr>
            <w:r>
              <w:rPr>
                <w:rFonts w:hint="eastAsia" w:ascii="宋体" w:hAnsi="宋体" w:eastAsia="宋体" w:cs="宋体"/>
                <w:sz w:val="28"/>
                <w:szCs w:val="28"/>
              </w:rPr>
              <w:t>主要环境影响及预防或减轻不良环境影响的对策和措施</w:t>
            </w:r>
          </w:p>
        </w:tc>
      </w:tr>
      <w:tr>
        <w:tblPrEx>
          <w:tblLayout w:type="fixed"/>
          <w:tblCellMar>
            <w:top w:w="0" w:type="dxa"/>
            <w:left w:w="108" w:type="dxa"/>
            <w:bottom w:w="0" w:type="dxa"/>
            <w:right w:w="108" w:type="dxa"/>
          </w:tblCellMar>
        </w:tblPrEx>
        <w:trPr>
          <w:trHeight w:val="6420" w:hRule="atLeast"/>
          <w:jc w:val="center"/>
        </w:trPr>
        <w:tc>
          <w:tcPr>
            <w:tcW w:w="1720" w:type="dxa"/>
            <w:tcBorders>
              <w:top w:val="nil"/>
              <w:left w:val="single" w:color="auto" w:sz="4" w:space="0"/>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唐河县东王集30MW分散式风电项目</w:t>
            </w:r>
          </w:p>
        </w:tc>
        <w:tc>
          <w:tcPr>
            <w:tcW w:w="136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唐河县文峰街道北京大道中段</w:t>
            </w:r>
          </w:p>
        </w:tc>
        <w:tc>
          <w:tcPr>
            <w:tcW w:w="136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河南国绿新能源科技有限公司</w:t>
            </w:r>
          </w:p>
        </w:tc>
        <w:tc>
          <w:tcPr>
            <w:tcW w:w="14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河北安怀环保科技有限公司</w:t>
            </w:r>
          </w:p>
        </w:tc>
        <w:tc>
          <w:tcPr>
            <w:tcW w:w="25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河南国绿新能源科技有限公司拟投资26036万元，于南阳市唐河县东部，建设30MW分散式风电项目。本工程拟安装10台单机容量为3000KW的风电机组，总装机容量30MW，配套建设一座35KV开关站、道路、风电基础及集成电路等，预计年上网发电量为6582万kW·h。</w:t>
            </w:r>
          </w:p>
        </w:tc>
        <w:tc>
          <w:tcPr>
            <w:tcW w:w="7600" w:type="dxa"/>
            <w:tcBorders>
              <w:top w:val="nil"/>
              <w:left w:val="nil"/>
              <w:bottom w:val="single" w:color="auto" w:sz="4" w:space="0"/>
              <w:right w:val="single" w:color="auto" w:sz="4" w:space="0"/>
            </w:tcBorders>
            <w:shd w:val="clear" w:color="auto" w:fill="auto"/>
          </w:tcPr>
          <w:p>
            <w:pPr>
              <w:numPr>
                <w:ilvl w:val="0"/>
                <w:numId w:val="0"/>
              </w:numPr>
              <w:adjustRightInd/>
              <w:snapToGrid/>
              <w:spacing w:after="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zh-CN" w:eastAsia="zh-CN"/>
              </w:rPr>
              <w:t>、</w:t>
            </w:r>
            <w:r>
              <w:rPr>
                <w:rFonts w:hint="default" w:ascii="Times New Roman" w:hAnsi="Times New Roman" w:eastAsia="宋体" w:cs="Times New Roman"/>
                <w:sz w:val="24"/>
                <w:szCs w:val="24"/>
                <w:lang w:val="en-US" w:eastAsia="zh-CN"/>
              </w:rPr>
              <w:t>大气环境</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生产期间无工艺废气污染源，主要是食堂油烟废气。食堂拟采用电能作为日常餐饮烹饪的能源，食堂在烹饪炒作时将产生油烟废气。经计算职工食堂油烟产生量4.5g/d。项目设1个基准灶头，单灶风量1000m3/h。日排烟按照2h计算，则油烟的排放量为2.25g/h，油烟产生浓度约2.25mg/m3。环评建议，职工食堂油烟经集气收集至1套净化效率不低于90%的油烟净化设施处理后经专用油烟管道引至高于楼顶排放，经处理后油烟排放浓度为0.225mg/m3，可以满足</w:t>
            </w:r>
            <w:r>
              <w:rPr>
                <w:rFonts w:hint="eastAsia" w:ascii="Times New Roman" w:hAnsi="Times New Roman" w:eastAsia="宋体" w:cs="Times New Roman"/>
                <w:sz w:val="24"/>
                <w:szCs w:val="24"/>
                <w:lang w:val="en-GB" w:eastAsia="zh-CN"/>
              </w:rPr>
              <w:t>《餐饮业油烟污染物排放标准》（DB41/1604-2018）的标准限值要求</w:t>
            </w:r>
            <w:r>
              <w:rPr>
                <w:rFonts w:hint="eastAsia" w:ascii="Times New Roman" w:hAnsi="Times New Roman" w:eastAsia="宋体" w:cs="Times New Roman"/>
                <w:sz w:val="24"/>
                <w:szCs w:val="24"/>
                <w:lang w:val="en-US" w:eastAsia="zh-CN"/>
              </w:rPr>
              <w:t>，对周围大气环境影响较小。</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2、水环境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项目营运期无生产废水，主要为职工生活污水。</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营运期劳动定员5人，在开关站内食宿；生活污水产生量为0.4m3/d。生活污水中主要污染物为COD、NH3-N、SS等，产生浓度分别为350mg/L、30mg/L、270mg/L。职工生活污水经站内配套建设的化粪池（容积5m3）处理后用于周围农田施肥，综合利用，项目营运期产生的职工生活污水不会对区域水环境产生明显不良影响。</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3、声环境</w:t>
            </w:r>
            <w:r>
              <w:rPr>
                <w:rFonts w:hint="eastAsia" w:ascii="Times New Roman" w:hAnsi="Times New Roman" w:eastAsia="宋体" w:cs="Times New Roman"/>
                <w:sz w:val="24"/>
                <w:szCs w:val="24"/>
                <w:lang w:val="en-US" w:eastAsia="zh-CN"/>
              </w:rPr>
              <w:br w:type="textWrapping"/>
            </w:r>
            <w:r>
              <w:rPr>
                <w:rFonts w:hint="eastAsia" w:ascii="Times New Roman" w:hAnsi="Times New Roman" w:eastAsia="宋体" w:cs="Times New Roman"/>
                <w:sz w:val="24"/>
                <w:szCs w:val="24"/>
                <w:lang w:val="en-US" w:eastAsia="zh-CN"/>
              </w:rPr>
              <w:t>营运期噪声主要为风机叶轮转动产生的机械噪声、箱式变压器运行产生的噪声及升压站主变噪声。本项目拟通过选用低噪声的设备， 并针对各机械振动噪声和空气动力性噪声的不同特征，采取隔声、减震、声屏障等措施 降噪。经预测，项目噪声源对周围村庄的声环境影响较小。</w:t>
            </w:r>
          </w:p>
          <w:p>
            <w:pPr>
              <w:numPr>
                <w:ilvl w:val="0"/>
                <w:numId w:val="0"/>
              </w:numPr>
              <w:adjustRightInd/>
              <w:snapToGrid/>
              <w:spacing w:after="0"/>
              <w:rPr>
                <w:rFonts w:hint="eastAsia" w:ascii="Times New Roman" w:hAnsi="Times New Roman" w:eastAsia="宋体" w:cs="Times New Roman"/>
                <w:sz w:val="24"/>
                <w:szCs w:val="24"/>
                <w:lang w:val="en-US" w:eastAsia="zh-CN"/>
              </w:rPr>
            </w:pP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4、固体废物                                            </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项目营运期固体废物主要为职工生活垃圾、化粪池污泥、开关站废变压器油、风机废润滑油。</w:t>
            </w:r>
          </w:p>
          <w:p>
            <w:pPr>
              <w:numPr>
                <w:ilvl w:val="0"/>
                <w:numId w:val="0"/>
              </w:numPr>
              <w:adjustRightInd/>
              <w:snapToGrid/>
              <w:spacing w:after="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职工生活垃圾集中收集至垃圾箱内，交由环卫部门运至垃圾中转站处理；化粪池污泥定期清掏，用于周围农田施肥；废变压器油及废润滑油属于危险废物，集中收集后暂存于站内危废暂存间（设置四防措施）内，定期送具有相应危险废物处理资质的单位进行处理。</w:t>
            </w:r>
          </w:p>
          <w:p>
            <w:pPr>
              <w:adjustRightInd/>
              <w:snapToGrid/>
              <w:spacing w:after="0"/>
              <w:rPr>
                <w:rFonts w:ascii="宋体" w:hAnsi="宋体" w:eastAsia="宋体" w:cs="宋体"/>
                <w:sz w:val="24"/>
                <w:szCs w:val="24"/>
              </w:rPr>
            </w:pPr>
            <w:bookmarkStart w:id="1" w:name="_GoBack"/>
            <w:bookmarkEnd w:id="1"/>
          </w:p>
        </w:tc>
      </w:tr>
    </w:tbl>
    <w:p>
      <w:pPr>
        <w:pStyle w:val="2"/>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E711F"/>
    <w:rsid w:val="00323B43"/>
    <w:rsid w:val="003D37D8"/>
    <w:rsid w:val="00426133"/>
    <w:rsid w:val="004358AB"/>
    <w:rsid w:val="008B7726"/>
    <w:rsid w:val="00D31D50"/>
    <w:rsid w:val="00F961CA"/>
    <w:rsid w:val="099A4C5A"/>
    <w:rsid w:val="191835BF"/>
    <w:rsid w:val="19FC154B"/>
    <w:rsid w:val="1C6B510B"/>
    <w:rsid w:val="2E3E4B53"/>
    <w:rsid w:val="32436A4B"/>
    <w:rsid w:val="36E215B3"/>
    <w:rsid w:val="4ECA0195"/>
    <w:rsid w:val="55D26588"/>
    <w:rsid w:val="59A31E12"/>
    <w:rsid w:val="71D43A1A"/>
    <w:rsid w:val="7292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1"/>
    <w:unhideWhenUsed/>
    <w:qFormat/>
    <w:uiPriority w:val="99"/>
    <w:pPr>
      <w:spacing w:after="120" w:line="240" w:lineRule="auto"/>
      <w:ind w:left="420" w:leftChars="200" w:firstLine="420"/>
    </w:pPr>
    <w:rPr>
      <w:rFonts w:hint="default" w:ascii="Times New Roman" w:hAnsi="Times New Roman" w:eastAsia="宋体"/>
      <w:sz w:val="21"/>
    </w:rPr>
  </w:style>
  <w:style w:type="paragraph" w:styleId="3">
    <w:name w:val="Block Text"/>
    <w:basedOn w:val="1"/>
    <w:unhideWhenUsed/>
    <w:qFormat/>
    <w:uiPriority w:val="99"/>
    <w:pPr>
      <w:autoSpaceDE w:val="0"/>
      <w:autoSpaceDN w:val="0"/>
      <w:adjustRightInd w:val="0"/>
      <w:spacing w:before="1" w:line="537" w:lineRule="exact"/>
      <w:ind w:left="88" w:right="6"/>
    </w:pPr>
    <w:rPr>
      <w:kern w:val="0"/>
      <w:sz w:val="28"/>
      <w:szCs w:val="20"/>
    </w:rPr>
  </w:style>
  <w:style w:type="paragraph" w:styleId="4">
    <w:name w:val="Body Text Indent 3"/>
    <w:basedOn w:val="1"/>
    <w:qFormat/>
    <w:uiPriority w:val="0"/>
    <w:pPr>
      <w:ind w:left="840" w:leftChars="400"/>
    </w:pPr>
    <w:rPr>
      <w:rFonts w:ascii="宋体" w:hAnsi="宋体"/>
      <w:sz w:val="28"/>
    </w:rPr>
  </w:style>
  <w:style w:type="paragraph" w:styleId="5">
    <w:name w:val="Body Text 2"/>
    <w:basedOn w:val="1"/>
    <w:unhideWhenUsed/>
    <w:qFormat/>
    <w:uiPriority w:val="99"/>
    <w:pPr>
      <w:spacing w:after="120" w:afterLines="0" w:line="480" w:lineRule="auto"/>
    </w:pPr>
    <w:rPr>
      <w:rFonts w:ascii="Calibri" w:hAnsi="Calibri"/>
      <w:kern w:val="0"/>
      <w:sz w:val="20"/>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lain Text"/>
    <w:basedOn w:val="1"/>
    <w:uiPriority w:val="0"/>
    <w:pPr>
      <w:adjustRightInd w:val="0"/>
      <w:jc w:val="left"/>
    </w:pPr>
    <w:rPr>
      <w:rFonts w:ascii="宋体" w:hAnsi="Courier New"/>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1</TotalTime>
  <ScaleCrop>false</ScaleCrop>
  <LinksUpToDate>false</LinksUpToDate>
  <CharactersWithSpaces>837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2020-07-23T06:48:37Z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