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5F" w:rsidRDefault="00831588">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6"/>
        <w:tblW w:w="14275" w:type="dxa"/>
        <w:tblLayout w:type="fixed"/>
        <w:tblLook w:val="04A0"/>
      </w:tblPr>
      <w:tblGrid>
        <w:gridCol w:w="470"/>
        <w:gridCol w:w="665"/>
        <w:gridCol w:w="675"/>
        <w:gridCol w:w="720"/>
        <w:gridCol w:w="900"/>
        <w:gridCol w:w="1725"/>
        <w:gridCol w:w="9120"/>
      </w:tblGrid>
      <w:tr w:rsidR="00E26E5F">
        <w:tc>
          <w:tcPr>
            <w:tcW w:w="470" w:type="dxa"/>
            <w:vAlign w:val="center"/>
          </w:tcPr>
          <w:p w:rsidR="00E26E5F" w:rsidRDefault="00831588">
            <w:pPr>
              <w:jc w:val="center"/>
              <w:rPr>
                <w:szCs w:val="21"/>
              </w:rPr>
            </w:pPr>
            <w:r>
              <w:rPr>
                <w:rFonts w:hint="eastAsia"/>
                <w:szCs w:val="21"/>
              </w:rPr>
              <w:t>序号</w:t>
            </w:r>
          </w:p>
        </w:tc>
        <w:tc>
          <w:tcPr>
            <w:tcW w:w="665" w:type="dxa"/>
            <w:vAlign w:val="center"/>
          </w:tcPr>
          <w:p w:rsidR="00E26E5F" w:rsidRDefault="00831588">
            <w:pPr>
              <w:jc w:val="center"/>
              <w:rPr>
                <w:szCs w:val="21"/>
              </w:rPr>
            </w:pPr>
            <w:r>
              <w:rPr>
                <w:rFonts w:hint="eastAsia"/>
                <w:szCs w:val="21"/>
              </w:rPr>
              <w:t>项目名称</w:t>
            </w:r>
          </w:p>
        </w:tc>
        <w:tc>
          <w:tcPr>
            <w:tcW w:w="675" w:type="dxa"/>
            <w:vAlign w:val="center"/>
          </w:tcPr>
          <w:p w:rsidR="00E26E5F" w:rsidRDefault="00831588">
            <w:pPr>
              <w:jc w:val="center"/>
              <w:rPr>
                <w:szCs w:val="21"/>
              </w:rPr>
            </w:pPr>
            <w:r>
              <w:rPr>
                <w:rFonts w:hint="eastAsia"/>
                <w:szCs w:val="21"/>
              </w:rPr>
              <w:t>建设地点</w:t>
            </w:r>
          </w:p>
        </w:tc>
        <w:tc>
          <w:tcPr>
            <w:tcW w:w="720" w:type="dxa"/>
            <w:vAlign w:val="center"/>
          </w:tcPr>
          <w:p w:rsidR="00E26E5F" w:rsidRDefault="00831588">
            <w:pPr>
              <w:jc w:val="center"/>
              <w:rPr>
                <w:szCs w:val="21"/>
              </w:rPr>
            </w:pPr>
            <w:r>
              <w:rPr>
                <w:rFonts w:hint="eastAsia"/>
                <w:szCs w:val="21"/>
              </w:rPr>
              <w:t>建设单位</w:t>
            </w:r>
          </w:p>
        </w:tc>
        <w:tc>
          <w:tcPr>
            <w:tcW w:w="900" w:type="dxa"/>
            <w:vAlign w:val="center"/>
          </w:tcPr>
          <w:p w:rsidR="00E26E5F" w:rsidRDefault="00831588">
            <w:pPr>
              <w:jc w:val="center"/>
              <w:rPr>
                <w:szCs w:val="21"/>
              </w:rPr>
            </w:pPr>
            <w:r>
              <w:rPr>
                <w:rFonts w:hint="eastAsia"/>
                <w:szCs w:val="21"/>
              </w:rPr>
              <w:t>环境影响评价机构</w:t>
            </w:r>
          </w:p>
        </w:tc>
        <w:tc>
          <w:tcPr>
            <w:tcW w:w="1725" w:type="dxa"/>
            <w:vAlign w:val="center"/>
          </w:tcPr>
          <w:p w:rsidR="00E26E5F" w:rsidRDefault="00831588">
            <w:pPr>
              <w:jc w:val="center"/>
              <w:rPr>
                <w:szCs w:val="21"/>
              </w:rPr>
            </w:pPr>
            <w:r>
              <w:rPr>
                <w:rFonts w:hint="eastAsia"/>
                <w:szCs w:val="21"/>
              </w:rPr>
              <w:t>建设项目概况</w:t>
            </w:r>
          </w:p>
        </w:tc>
        <w:tc>
          <w:tcPr>
            <w:tcW w:w="9120" w:type="dxa"/>
            <w:vAlign w:val="center"/>
          </w:tcPr>
          <w:p w:rsidR="00E26E5F" w:rsidRDefault="00831588">
            <w:pPr>
              <w:jc w:val="center"/>
              <w:rPr>
                <w:szCs w:val="21"/>
              </w:rPr>
            </w:pPr>
            <w:r>
              <w:rPr>
                <w:rFonts w:hint="eastAsia"/>
                <w:szCs w:val="21"/>
              </w:rPr>
              <w:t>主要环境影响及预防或减轻不良环境影响的对策和措施</w:t>
            </w:r>
          </w:p>
        </w:tc>
      </w:tr>
      <w:tr w:rsidR="00E26E5F">
        <w:tc>
          <w:tcPr>
            <w:tcW w:w="470" w:type="dxa"/>
            <w:vAlign w:val="center"/>
          </w:tcPr>
          <w:p w:rsidR="00E26E5F" w:rsidRDefault="00831588">
            <w:pPr>
              <w:jc w:val="center"/>
              <w:rPr>
                <w:szCs w:val="21"/>
              </w:rPr>
            </w:pPr>
            <w:r>
              <w:rPr>
                <w:rFonts w:hint="eastAsia"/>
                <w:szCs w:val="21"/>
              </w:rPr>
              <w:t>1</w:t>
            </w:r>
          </w:p>
        </w:tc>
        <w:tc>
          <w:tcPr>
            <w:tcW w:w="665" w:type="dxa"/>
            <w:vAlign w:val="center"/>
          </w:tcPr>
          <w:p w:rsidR="00E26E5F" w:rsidRPr="00FC15CC" w:rsidRDefault="00FC15CC">
            <w:pPr>
              <w:jc w:val="center"/>
              <w:rPr>
                <w:szCs w:val="21"/>
              </w:rPr>
            </w:pPr>
            <w:r w:rsidRPr="00FC15CC">
              <w:rPr>
                <w:rFonts w:cs="Times New Roman"/>
              </w:rPr>
              <w:t>唐河源新橡胶制品有限公司直流导电胶按键生产线建设项目</w:t>
            </w:r>
          </w:p>
        </w:tc>
        <w:tc>
          <w:tcPr>
            <w:tcW w:w="675" w:type="dxa"/>
            <w:vAlign w:val="center"/>
          </w:tcPr>
          <w:p w:rsidR="00E26E5F" w:rsidRPr="00FC15CC" w:rsidRDefault="00FC15CC">
            <w:pPr>
              <w:jc w:val="center"/>
              <w:rPr>
                <w:szCs w:val="21"/>
              </w:rPr>
            </w:pPr>
            <w:r w:rsidRPr="00FC15CC">
              <w:rPr>
                <w:rFonts w:cs="Times New Roman"/>
              </w:rPr>
              <w:t>南阳市唐河县产业集聚区文峰路南段</w:t>
            </w:r>
          </w:p>
        </w:tc>
        <w:tc>
          <w:tcPr>
            <w:tcW w:w="720" w:type="dxa"/>
            <w:vAlign w:val="center"/>
          </w:tcPr>
          <w:p w:rsidR="00E26E5F" w:rsidRPr="00FC15CC" w:rsidRDefault="00FC15CC">
            <w:pPr>
              <w:jc w:val="center"/>
              <w:rPr>
                <w:szCs w:val="21"/>
              </w:rPr>
            </w:pPr>
            <w:r w:rsidRPr="00FC15CC">
              <w:rPr>
                <w:rFonts w:cs="Times New Roman"/>
              </w:rPr>
              <w:t>唐河源新橡胶制品有限公司</w:t>
            </w:r>
          </w:p>
        </w:tc>
        <w:tc>
          <w:tcPr>
            <w:tcW w:w="900" w:type="dxa"/>
            <w:vAlign w:val="center"/>
          </w:tcPr>
          <w:p w:rsidR="00E26E5F" w:rsidRDefault="00FC15CC">
            <w:pPr>
              <w:jc w:val="center"/>
              <w:rPr>
                <w:szCs w:val="21"/>
              </w:rPr>
            </w:pPr>
            <w:r w:rsidRPr="00FC15CC">
              <w:rPr>
                <w:rFonts w:hint="eastAsia"/>
                <w:szCs w:val="21"/>
              </w:rPr>
              <w:t>河南晨鹤环境科技有限公司</w:t>
            </w:r>
          </w:p>
        </w:tc>
        <w:tc>
          <w:tcPr>
            <w:tcW w:w="1725" w:type="dxa"/>
            <w:vAlign w:val="center"/>
          </w:tcPr>
          <w:p w:rsidR="00E26E5F" w:rsidRPr="00FC15CC" w:rsidRDefault="00FC15CC">
            <w:pPr>
              <w:jc w:val="left"/>
              <w:rPr>
                <w:rFonts w:ascii="Times New Roman" w:eastAsia="宋体" w:hAnsi="Times New Roman" w:cs="Times New Roman"/>
                <w:szCs w:val="21"/>
              </w:rPr>
            </w:pPr>
            <w:r>
              <w:rPr>
                <w:rFonts w:cs="Times New Roman" w:hint="eastAsia"/>
                <w:szCs w:val="21"/>
              </w:rPr>
              <w:t>租赁现有闲置厂区</w:t>
            </w:r>
            <w:r>
              <w:rPr>
                <w:rFonts w:cs="Times New Roman" w:hint="eastAsia"/>
                <w:szCs w:val="21"/>
              </w:rPr>
              <w:t>30</w:t>
            </w:r>
            <w:r>
              <w:rPr>
                <w:rFonts w:cs="Times New Roman" w:hint="eastAsia"/>
                <w:szCs w:val="21"/>
              </w:rPr>
              <w:t>亩</w:t>
            </w:r>
            <w:r w:rsidR="00E97D42" w:rsidRPr="00FC15CC">
              <w:rPr>
                <w:rFonts w:ascii="Times New Roman" w:eastAsia="宋体" w:hAnsi="Times New Roman" w:cs="Times New Roman" w:hint="eastAsia"/>
                <w:szCs w:val="21"/>
              </w:rPr>
              <w:t>，</w:t>
            </w:r>
            <w:r>
              <w:rPr>
                <w:rFonts w:ascii="Times New Roman" w:eastAsia="宋体" w:hAnsi="Times New Roman" w:cs="Times New Roman" w:hint="eastAsia"/>
                <w:szCs w:val="21"/>
              </w:rPr>
              <w:t>建成后主要有生产车间、吹塑车间、切袋车间等，</w:t>
            </w:r>
            <w:r w:rsidRPr="00FC15CC">
              <w:rPr>
                <w:rFonts w:cs="Times New Roman" w:hint="eastAsia"/>
                <w:szCs w:val="21"/>
              </w:rPr>
              <w:t>年生</w:t>
            </w:r>
            <w:r w:rsidRPr="00FC15CC">
              <w:rPr>
                <w:rFonts w:ascii="Times New Roman" w:cs="Times New Roman"/>
                <w:szCs w:val="21"/>
              </w:rPr>
              <w:t>产</w:t>
            </w:r>
            <w:r w:rsidRPr="00FC15CC">
              <w:rPr>
                <w:rFonts w:ascii="Times New Roman" w:hAnsi="Times New Roman" w:cs="Times New Roman"/>
                <w:szCs w:val="21"/>
              </w:rPr>
              <w:t>3000</w:t>
            </w:r>
            <w:r w:rsidRPr="00FC15CC">
              <w:rPr>
                <w:rFonts w:ascii="Times New Roman" w:cs="Times New Roman"/>
                <w:szCs w:val="21"/>
              </w:rPr>
              <w:t>万件导电胶按键</w:t>
            </w:r>
            <w:r w:rsidRPr="00FC15CC">
              <w:rPr>
                <w:rFonts w:cs="Times New Roman" w:hint="eastAsia"/>
                <w:szCs w:val="21"/>
              </w:rPr>
              <w:t>及辅助生产用塑料薄膜生产线</w:t>
            </w:r>
            <w:r w:rsidR="00831588" w:rsidRPr="00FC15CC">
              <w:rPr>
                <w:rFonts w:ascii="Times New Roman" w:eastAsia="宋体" w:hAnsi="Times New Roman" w:cs="Times New Roman" w:hint="eastAsia"/>
                <w:szCs w:val="21"/>
              </w:rPr>
              <w:t>。</w:t>
            </w:r>
          </w:p>
          <w:p w:rsidR="00E26E5F" w:rsidRDefault="00FC15CC">
            <w:pPr>
              <w:jc w:val="left"/>
              <w:rPr>
                <w:rFonts w:hint="eastAsia"/>
                <w:szCs w:val="21"/>
              </w:rPr>
            </w:pPr>
            <w:r>
              <w:rPr>
                <w:rFonts w:hint="eastAsia"/>
                <w:szCs w:val="21"/>
              </w:rPr>
              <w:t>塑料薄膜</w:t>
            </w:r>
            <w:r w:rsidR="004044DF" w:rsidRPr="00FC15CC">
              <w:rPr>
                <w:rFonts w:hint="eastAsia"/>
                <w:szCs w:val="21"/>
              </w:rPr>
              <w:t>生产工艺：</w:t>
            </w:r>
            <w:r>
              <w:rPr>
                <w:rFonts w:hint="eastAsia"/>
                <w:szCs w:val="21"/>
              </w:rPr>
              <w:t>外购原料→配料</w:t>
            </w:r>
            <w:r w:rsidR="004044DF" w:rsidRPr="00FC15CC">
              <w:rPr>
                <w:rFonts w:hint="eastAsia"/>
                <w:szCs w:val="21"/>
              </w:rPr>
              <w:t>→</w:t>
            </w:r>
            <w:r>
              <w:rPr>
                <w:rFonts w:hint="eastAsia"/>
                <w:szCs w:val="21"/>
              </w:rPr>
              <w:t>投料</w:t>
            </w:r>
            <w:r w:rsidR="004044DF" w:rsidRPr="00FC15CC">
              <w:rPr>
                <w:rFonts w:hint="eastAsia"/>
                <w:szCs w:val="21"/>
              </w:rPr>
              <w:t>→</w:t>
            </w:r>
            <w:r>
              <w:rPr>
                <w:rFonts w:hint="eastAsia"/>
                <w:szCs w:val="21"/>
              </w:rPr>
              <w:t>热熔</w:t>
            </w:r>
            <w:r w:rsidR="004044DF" w:rsidRPr="00FC15CC">
              <w:rPr>
                <w:rFonts w:hint="eastAsia"/>
                <w:szCs w:val="21"/>
              </w:rPr>
              <w:t>→</w:t>
            </w:r>
            <w:r>
              <w:rPr>
                <w:rFonts w:hint="eastAsia"/>
                <w:szCs w:val="21"/>
              </w:rPr>
              <w:t>吹膜牵引</w:t>
            </w:r>
            <w:r w:rsidR="004044DF" w:rsidRPr="00FC15CC">
              <w:rPr>
                <w:rFonts w:hint="eastAsia"/>
                <w:szCs w:val="21"/>
              </w:rPr>
              <w:t>→</w:t>
            </w:r>
            <w:r>
              <w:rPr>
                <w:rFonts w:hint="eastAsia"/>
                <w:szCs w:val="21"/>
              </w:rPr>
              <w:t>冷却</w:t>
            </w:r>
            <w:r w:rsidR="004044DF" w:rsidRPr="00FC15CC">
              <w:rPr>
                <w:rFonts w:hint="eastAsia"/>
                <w:szCs w:val="21"/>
              </w:rPr>
              <w:t>→</w:t>
            </w:r>
            <w:r>
              <w:rPr>
                <w:rFonts w:hint="eastAsia"/>
                <w:szCs w:val="21"/>
              </w:rPr>
              <w:t>旋转压辊</w:t>
            </w:r>
            <w:r w:rsidR="004044DF" w:rsidRPr="00FC15CC">
              <w:rPr>
                <w:rFonts w:hint="eastAsia"/>
                <w:szCs w:val="21"/>
              </w:rPr>
              <w:t>→</w:t>
            </w:r>
            <w:r>
              <w:rPr>
                <w:rFonts w:hint="eastAsia"/>
                <w:szCs w:val="21"/>
              </w:rPr>
              <w:t>电晕</w:t>
            </w:r>
            <w:r w:rsidR="004044DF" w:rsidRPr="00FC15CC">
              <w:rPr>
                <w:rFonts w:hint="eastAsia"/>
                <w:szCs w:val="21"/>
              </w:rPr>
              <w:t>→</w:t>
            </w:r>
            <w:r>
              <w:rPr>
                <w:rFonts w:hint="eastAsia"/>
                <w:szCs w:val="21"/>
              </w:rPr>
              <w:t>印刷</w:t>
            </w:r>
            <w:r w:rsidR="004044DF" w:rsidRPr="00FC15CC">
              <w:rPr>
                <w:rFonts w:hint="eastAsia"/>
                <w:szCs w:val="21"/>
              </w:rPr>
              <w:t>→</w:t>
            </w:r>
            <w:r>
              <w:rPr>
                <w:rFonts w:hint="eastAsia"/>
                <w:szCs w:val="21"/>
              </w:rPr>
              <w:t>切边</w:t>
            </w:r>
            <w:r w:rsidR="004044DF" w:rsidRPr="00FC15CC">
              <w:rPr>
                <w:rFonts w:hint="eastAsia"/>
                <w:szCs w:val="21"/>
              </w:rPr>
              <w:t>→</w:t>
            </w:r>
            <w:r>
              <w:rPr>
                <w:rFonts w:hint="eastAsia"/>
                <w:szCs w:val="21"/>
              </w:rPr>
              <w:t>收卷→检验→包装</w:t>
            </w:r>
            <w:r w:rsidR="004044DF" w:rsidRPr="00FC15CC">
              <w:rPr>
                <w:rFonts w:hint="eastAsia"/>
                <w:szCs w:val="21"/>
              </w:rPr>
              <w:t>入库。</w:t>
            </w:r>
          </w:p>
          <w:p w:rsidR="00FC15CC" w:rsidRPr="00FC15CC" w:rsidRDefault="00FC15CC" w:rsidP="00FC15CC">
            <w:pPr>
              <w:pStyle w:val="a0"/>
            </w:pPr>
            <w:r>
              <w:rPr>
                <w:rFonts w:hint="eastAsia"/>
              </w:rPr>
              <w:t>导电胶按键生产工艺：原料→混炼→调色→分切→热压成型→丝</w:t>
            </w:r>
            <w:r>
              <w:rPr>
                <w:rFonts w:hint="eastAsia"/>
              </w:rPr>
              <w:lastRenderedPageBreak/>
              <w:t>印</w:t>
            </w:r>
            <w:r>
              <w:rPr>
                <w:rFonts w:hint="eastAsia"/>
              </w:rPr>
              <w:t>/</w:t>
            </w:r>
            <w:r>
              <w:rPr>
                <w:rFonts w:hint="eastAsia"/>
              </w:rPr>
              <w:t>点碳→烘烤→切边→检验→包装入库。</w:t>
            </w:r>
          </w:p>
          <w:p w:rsidR="004044DF" w:rsidRPr="00FC15CC" w:rsidRDefault="004044DF" w:rsidP="00FC15CC">
            <w:pPr>
              <w:pStyle w:val="a0"/>
              <w:rPr>
                <w:szCs w:val="21"/>
              </w:rPr>
            </w:pPr>
            <w:r w:rsidRPr="00FC15CC">
              <w:rPr>
                <w:rFonts w:hint="eastAsia"/>
                <w:szCs w:val="21"/>
              </w:rPr>
              <w:t>生产设备：</w:t>
            </w:r>
            <w:r w:rsidR="00FC15CC">
              <w:rPr>
                <w:rFonts w:hint="eastAsia"/>
                <w:szCs w:val="21"/>
              </w:rPr>
              <w:t>混炼机、开炼机、点碳机、成型机</w:t>
            </w:r>
            <w:r w:rsidRPr="00FC15CC">
              <w:rPr>
                <w:rFonts w:hint="eastAsia"/>
                <w:szCs w:val="21"/>
              </w:rPr>
              <w:t>、</w:t>
            </w:r>
            <w:r w:rsidR="00FC15CC">
              <w:rPr>
                <w:rFonts w:hint="eastAsia"/>
                <w:szCs w:val="21"/>
              </w:rPr>
              <w:t>印刷机、烤箱</w:t>
            </w:r>
            <w:r w:rsidRPr="00FC15CC">
              <w:rPr>
                <w:rFonts w:hint="eastAsia"/>
                <w:szCs w:val="21"/>
              </w:rPr>
              <w:t>等</w:t>
            </w:r>
          </w:p>
        </w:tc>
        <w:tc>
          <w:tcPr>
            <w:tcW w:w="9120" w:type="dxa"/>
            <w:vAlign w:val="center"/>
          </w:tcPr>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1</w:t>
            </w:r>
            <w:r>
              <w:rPr>
                <w:rFonts w:ascii="Times New Roman" w:eastAsia="宋体" w:hAnsi="Times New Roman" w:cs="Times New Roman"/>
                <w:szCs w:val="21"/>
              </w:rPr>
              <w:t>）大气环境：</w:t>
            </w:r>
          </w:p>
          <w:p w:rsidR="00FA7B19" w:rsidRPr="00FA7B19" w:rsidRDefault="00FA7B19" w:rsidP="00FA7B19">
            <w:pPr>
              <w:ind w:firstLineChars="200" w:firstLine="420"/>
              <w:rPr>
                <w:rFonts w:cs="Times New Roman"/>
              </w:rPr>
            </w:pPr>
            <w:r w:rsidRPr="00FA7B19">
              <w:rPr>
                <w:rFonts w:cs="Times New Roman" w:hint="eastAsia"/>
              </w:rPr>
              <w:t>废气主要来自生产废气和食堂油烟，其中生产废气主要包括塑料薄膜生产废气和导电胶按键生产废气，塑料薄膜生产废气主要为配料投料粉尘、吹膜过程有机废气和印刷烘干过程有机废气，导电胶按键生产废气主要为喷砂粉尘废气、硅胶混炼、热压成型、丝印、点碳和烘烤过程会有机废气。</w:t>
            </w:r>
          </w:p>
          <w:p w:rsidR="00FA7B19" w:rsidRPr="00FA7B19" w:rsidRDefault="00FA7B19" w:rsidP="00FA7B19">
            <w:pPr>
              <w:ind w:firstLineChars="200" w:firstLine="420"/>
              <w:rPr>
                <w:rFonts w:ascii="Times New Roman" w:hAnsi="Times New Roman" w:cs="Times New Roman"/>
                <w:szCs w:val="21"/>
              </w:rPr>
            </w:pPr>
            <w:r w:rsidRPr="00FA7B19">
              <w:rPr>
                <w:rFonts w:ascii="Times New Roman" w:cs="Times New Roman"/>
              </w:rPr>
              <w:t>塑</w:t>
            </w:r>
            <w:r w:rsidRPr="00FA7B19">
              <w:rPr>
                <w:rFonts w:ascii="Times New Roman" w:hAnsi="Times New Roman" w:cs="Times New Roman"/>
              </w:rPr>
              <w:t>料薄膜生产线配料、投料产生的粉尘经集气罩收集后，再经布袋除尘器处理，通过</w:t>
            </w:r>
            <w:r w:rsidRPr="00FA7B19">
              <w:rPr>
                <w:rFonts w:ascii="Times New Roman" w:hAnsi="Times New Roman" w:cs="Times New Roman"/>
              </w:rPr>
              <w:t>15m</w:t>
            </w:r>
            <w:r w:rsidRPr="00FA7B19">
              <w:rPr>
                <w:rFonts w:ascii="Times New Roman" w:hAnsi="Times New Roman" w:cs="Times New Roman"/>
              </w:rPr>
              <w:t>高排气筒排放，能够满足《合成树脂工业污染物排放标准》（</w:t>
            </w:r>
            <w:r w:rsidRPr="00FA7B19">
              <w:rPr>
                <w:rFonts w:ascii="Times New Roman" w:hAnsi="Times New Roman" w:cs="Times New Roman"/>
              </w:rPr>
              <w:t>GB31572-2015</w:t>
            </w:r>
            <w:r w:rsidRPr="00FA7B19">
              <w:rPr>
                <w:rFonts w:ascii="Times New Roman" w:hAnsi="Times New Roman" w:cs="Times New Roman"/>
              </w:rPr>
              <w:t>）表</w:t>
            </w:r>
            <w:r w:rsidRPr="00FA7B19">
              <w:rPr>
                <w:rFonts w:ascii="Times New Roman" w:hAnsi="Times New Roman" w:cs="Times New Roman"/>
              </w:rPr>
              <w:t>4</w:t>
            </w:r>
            <w:r w:rsidRPr="00FA7B19">
              <w:rPr>
                <w:rFonts w:ascii="Times New Roman" w:hAnsi="Times New Roman" w:cs="Times New Roman"/>
              </w:rPr>
              <w:t>颗粒物排放限值要求；</w:t>
            </w:r>
            <w:r w:rsidRPr="00FA7B19">
              <w:rPr>
                <w:rFonts w:ascii="Times New Roman" w:eastAsia="宋体" w:cs="Times New Roman"/>
              </w:rPr>
              <w:t>吹膜过程会有少量有机废气产生，拟在挤出机口、印刷机出口，以及吹膜机组出料口上部均设置集气罩和排气支管，用于收集和输送生产过程逸散出来的有机废气，收集的有机废气再通过排气主管送至吹膜车间配套的</w:t>
            </w:r>
            <w:r w:rsidRPr="00FA7B19">
              <w:rPr>
                <w:rFonts w:ascii="Times New Roman" w:eastAsia="宋体" w:hAnsi="Times New Roman" w:cs="Times New Roman"/>
              </w:rPr>
              <w:t>1</w:t>
            </w:r>
            <w:r w:rsidRPr="00FA7B19">
              <w:rPr>
                <w:rFonts w:ascii="Times New Roman" w:eastAsia="宋体" w:cs="Times New Roman"/>
              </w:rPr>
              <w:t>套</w:t>
            </w:r>
            <w:r w:rsidRPr="00FA7B19">
              <w:rPr>
                <w:rFonts w:ascii="Times New Roman" w:eastAsia="宋体" w:hAnsi="Times New Roman" w:cs="Times New Roman"/>
              </w:rPr>
              <w:t>“UV</w:t>
            </w:r>
            <w:r w:rsidRPr="00FA7B19">
              <w:rPr>
                <w:rFonts w:ascii="Times New Roman" w:eastAsia="宋体" w:cs="Times New Roman"/>
              </w:rPr>
              <w:t>光解</w:t>
            </w:r>
            <w:r w:rsidRPr="00FA7B19">
              <w:rPr>
                <w:rFonts w:ascii="Times New Roman" w:eastAsia="宋体" w:hAnsi="Times New Roman" w:cs="Times New Roman"/>
              </w:rPr>
              <w:t>+</w:t>
            </w:r>
            <w:r w:rsidRPr="00FA7B19">
              <w:rPr>
                <w:rFonts w:ascii="Times New Roman" w:eastAsia="宋体" w:cs="Times New Roman"/>
              </w:rPr>
              <w:t>活性炭吸附</w:t>
            </w:r>
            <w:r w:rsidRPr="00FA7B19">
              <w:rPr>
                <w:rFonts w:ascii="Times New Roman" w:eastAsia="宋体" w:hAnsi="Times New Roman" w:cs="Times New Roman"/>
              </w:rPr>
              <w:t>”</w:t>
            </w:r>
            <w:r w:rsidRPr="00FA7B19">
              <w:rPr>
                <w:rFonts w:ascii="Times New Roman" w:eastAsia="宋体" w:cs="Times New Roman"/>
              </w:rPr>
              <w:t>有机废气处理装置内，经</w:t>
            </w:r>
            <w:r w:rsidRPr="00FA7B19">
              <w:rPr>
                <w:rFonts w:ascii="Times New Roman" w:eastAsia="宋体" w:hAnsi="Times New Roman" w:cs="Times New Roman"/>
              </w:rPr>
              <w:t>1</w:t>
            </w:r>
            <w:r w:rsidRPr="00FA7B19">
              <w:rPr>
                <w:rFonts w:ascii="Times New Roman" w:eastAsia="宋体" w:cs="Times New Roman"/>
              </w:rPr>
              <w:t>套有机废气处理装置处理，最后通过</w:t>
            </w:r>
            <w:r w:rsidRPr="00FA7B19">
              <w:rPr>
                <w:rFonts w:ascii="Times New Roman" w:eastAsia="宋体" w:hAnsi="Times New Roman" w:cs="Times New Roman"/>
              </w:rPr>
              <w:t>15m</w:t>
            </w:r>
            <w:r w:rsidRPr="00FA7B19">
              <w:rPr>
                <w:rFonts w:ascii="Times New Roman" w:eastAsia="宋体" w:cs="Times New Roman"/>
              </w:rPr>
              <w:t>高排气筒排放，有机废气能够同时满足</w:t>
            </w:r>
            <w:r w:rsidRPr="00FA7B19">
              <w:rPr>
                <w:rFonts w:ascii="Times New Roman" w:cs="Times New Roman"/>
              </w:rPr>
              <w:t>《合成树脂工业污染物排放标准》（</w:t>
            </w:r>
            <w:r w:rsidRPr="00FA7B19">
              <w:rPr>
                <w:rFonts w:ascii="Times New Roman" w:hAnsi="Times New Roman" w:cs="Times New Roman"/>
              </w:rPr>
              <w:t>GB31572-2015</w:t>
            </w:r>
            <w:r w:rsidRPr="00FA7B19">
              <w:rPr>
                <w:rFonts w:ascii="Times New Roman" w:cs="Times New Roman"/>
              </w:rPr>
              <w:t>）表</w:t>
            </w:r>
            <w:r w:rsidRPr="00FA7B19">
              <w:rPr>
                <w:rFonts w:ascii="Times New Roman" w:hAnsi="Times New Roman" w:cs="Times New Roman"/>
              </w:rPr>
              <w:t>4</w:t>
            </w:r>
            <w:r w:rsidRPr="00FA7B19">
              <w:rPr>
                <w:rFonts w:ascii="Times New Roman" w:cs="Times New Roman"/>
              </w:rPr>
              <w:t>非甲烷总烃排放限值、《印刷工业挥发性有机物排放浓度》（</w:t>
            </w:r>
            <w:r w:rsidRPr="00FA7B19">
              <w:rPr>
                <w:rFonts w:ascii="Times New Roman" w:hAnsi="Times New Roman" w:cs="Times New Roman"/>
              </w:rPr>
              <w:t>DB41/1956-2020</w:t>
            </w:r>
            <w:r w:rsidRPr="00FA7B19">
              <w:rPr>
                <w:rFonts w:ascii="Times New Roman" w:cs="Times New Roman"/>
              </w:rPr>
              <w:t>）表</w:t>
            </w:r>
            <w:r w:rsidRPr="00FA7B19">
              <w:rPr>
                <w:rFonts w:ascii="Times New Roman" w:hAnsi="Times New Roman" w:cs="Times New Roman"/>
              </w:rPr>
              <w:t>1</w:t>
            </w:r>
            <w:r w:rsidRPr="00FA7B19">
              <w:rPr>
                <w:rFonts w:ascii="Times New Roman" w:cs="Times New Roman"/>
              </w:rPr>
              <w:t>非甲烷总烃排放限值和</w:t>
            </w:r>
            <w:r w:rsidRPr="00FA7B19">
              <w:rPr>
                <w:rFonts w:ascii="Times New Roman" w:cs="Times New Roman"/>
                <w:szCs w:val="21"/>
              </w:rPr>
              <w:t>《关于全省开展工业企业挥发性有机物专项治理工作中排放建议值的通知》（豫环攻坚办【</w:t>
            </w:r>
            <w:r w:rsidRPr="00FA7B19">
              <w:rPr>
                <w:rFonts w:ascii="Times New Roman" w:hAnsi="Times New Roman" w:cs="Times New Roman"/>
                <w:szCs w:val="21"/>
              </w:rPr>
              <w:t>2017</w:t>
            </w:r>
            <w:r w:rsidRPr="00FA7B19">
              <w:rPr>
                <w:rFonts w:ascii="Times New Roman" w:cs="Times New Roman"/>
                <w:szCs w:val="21"/>
              </w:rPr>
              <w:t>】</w:t>
            </w:r>
            <w:r w:rsidRPr="00FA7B19">
              <w:rPr>
                <w:rFonts w:ascii="Times New Roman" w:hAnsi="Times New Roman" w:cs="Times New Roman"/>
                <w:szCs w:val="21"/>
              </w:rPr>
              <w:t>162</w:t>
            </w:r>
            <w:r w:rsidRPr="00FA7B19">
              <w:rPr>
                <w:rFonts w:ascii="Times New Roman" w:cs="Times New Roman"/>
                <w:szCs w:val="21"/>
              </w:rPr>
              <w:t>号）附件</w:t>
            </w:r>
            <w:r w:rsidRPr="00FA7B19">
              <w:rPr>
                <w:rFonts w:ascii="Times New Roman" w:hAnsi="Times New Roman" w:cs="Times New Roman"/>
                <w:szCs w:val="21"/>
              </w:rPr>
              <w:t>1</w:t>
            </w:r>
            <w:r w:rsidRPr="00FA7B19">
              <w:rPr>
                <w:rFonts w:ascii="Times New Roman" w:cs="Times New Roman"/>
                <w:szCs w:val="21"/>
              </w:rPr>
              <w:t>印刷工业非甲烷总烃排放限值要求。</w:t>
            </w:r>
          </w:p>
          <w:p w:rsidR="00FA7B19" w:rsidRPr="00FA7B19" w:rsidRDefault="00FA7B19" w:rsidP="00FA7B19">
            <w:pPr>
              <w:ind w:firstLineChars="200" w:firstLine="420"/>
              <w:rPr>
                <w:rFonts w:cs="Times New Roman"/>
              </w:rPr>
            </w:pPr>
            <w:r w:rsidRPr="00FA7B19">
              <w:rPr>
                <w:rFonts w:cs="Times New Roman" w:hint="eastAsia"/>
                <w:szCs w:val="21"/>
              </w:rPr>
              <w:t>导电胶按键生产线</w:t>
            </w:r>
            <w:r>
              <w:rPr>
                <w:rFonts w:cs="Times New Roman" w:hint="eastAsia"/>
                <w:szCs w:val="21"/>
              </w:rPr>
              <w:t>喷砂工段粉尘经</w:t>
            </w:r>
            <w:r w:rsidRPr="00FA7B19">
              <w:rPr>
                <w:rFonts w:cs="Times New Roman" w:hint="eastAsia"/>
              </w:rPr>
              <w:t>喷砂机自带的布袋布尘器收集，粒径较大的金刚砂颗粒内部滤筒过滤后回收循环使用，粒径较小的颗粒物以气态颗粒物粉尘的形式由布袋除尘器收集。收集的粉尘通过喷砂机自带袋式除尘器处理后，再通过</w:t>
            </w:r>
            <w:r w:rsidRPr="00FA7B19">
              <w:rPr>
                <w:rFonts w:cs="Times New Roman" w:hint="eastAsia"/>
              </w:rPr>
              <w:t>15m</w:t>
            </w:r>
            <w:r w:rsidRPr="00FA7B19">
              <w:rPr>
                <w:rFonts w:cs="Times New Roman" w:hint="eastAsia"/>
              </w:rPr>
              <w:t>高排气筒排放，排放的粉尘能够满足《橡胶制品工业污染物排放标准》（</w:t>
            </w:r>
            <w:r w:rsidRPr="00FA7B19">
              <w:rPr>
                <w:rFonts w:cs="Times New Roman" w:hint="eastAsia"/>
              </w:rPr>
              <w:t>GB27632-2011</w:t>
            </w:r>
            <w:r w:rsidRPr="00FA7B19">
              <w:rPr>
                <w:rFonts w:cs="Times New Roman" w:hint="eastAsia"/>
              </w:rPr>
              <w:t>）表</w:t>
            </w:r>
            <w:r w:rsidRPr="00FA7B19">
              <w:rPr>
                <w:rFonts w:cs="Times New Roman" w:hint="eastAsia"/>
              </w:rPr>
              <w:t>5</w:t>
            </w:r>
            <w:r>
              <w:rPr>
                <w:rFonts w:cs="Times New Roman" w:hint="eastAsia"/>
              </w:rPr>
              <w:t>颗粒物排放限值要求；</w:t>
            </w:r>
          </w:p>
          <w:p w:rsidR="00FA7B19" w:rsidRPr="00FA7B19" w:rsidRDefault="00FA7B19" w:rsidP="00FA7B19">
            <w:pPr>
              <w:pStyle w:val="Default"/>
              <w:adjustRightInd/>
              <w:ind w:firstLineChars="200" w:firstLine="420"/>
              <w:rPr>
                <w:rFonts w:ascii="Times New Roman" w:hAnsi="Times New Roman" w:cs="Times New Roman"/>
                <w:color w:val="auto"/>
                <w:sz w:val="21"/>
                <w:szCs w:val="23"/>
              </w:rPr>
            </w:pPr>
            <w:r w:rsidRPr="00FA7B19">
              <w:rPr>
                <w:rFonts w:ascii="Times New Roman" w:hAnsi="Times New Roman" w:cs="Times New Roman"/>
                <w:color w:val="auto"/>
                <w:sz w:val="21"/>
                <w:szCs w:val="23"/>
              </w:rPr>
              <w:t>混炼热压过程会有一定量的有机废气产生，</w:t>
            </w:r>
            <w:r w:rsidRPr="00FA7B19">
              <w:rPr>
                <w:rFonts w:ascii="Times New Roman" w:hAnsi="Times New Roman" w:cs="Times New Roman"/>
                <w:color w:val="auto"/>
                <w:sz w:val="21"/>
              </w:rPr>
              <w:t>拟通过集气罩</w:t>
            </w:r>
            <w:r w:rsidRPr="00FA7B19">
              <w:rPr>
                <w:rFonts w:ascii="Times New Roman" w:hAnsi="Times New Roman" w:cs="Times New Roman"/>
                <w:color w:val="auto"/>
                <w:sz w:val="21"/>
              </w:rPr>
              <w:t>+</w:t>
            </w:r>
            <w:r w:rsidRPr="00FA7B19">
              <w:rPr>
                <w:rFonts w:ascii="Times New Roman" w:hAnsi="Times New Roman" w:cs="Times New Roman"/>
                <w:color w:val="auto"/>
                <w:sz w:val="21"/>
              </w:rPr>
              <w:t>车间负压抽风收集生产过程产生的有机废气，</w:t>
            </w:r>
            <w:r w:rsidRPr="00FA7B19">
              <w:rPr>
                <w:rFonts w:ascii="Times New Roman" w:hAnsi="Times New Roman" w:cs="Times New Roman" w:hint="eastAsia"/>
                <w:color w:val="auto"/>
                <w:sz w:val="21"/>
              </w:rPr>
              <w:t>收集后的有机废气通过水喷淋</w:t>
            </w:r>
            <w:r w:rsidRPr="00FA7B19">
              <w:rPr>
                <w:rFonts w:ascii="Times New Roman" w:hAnsi="Times New Roman" w:cs="Times New Roman" w:hint="eastAsia"/>
                <w:color w:val="auto"/>
                <w:sz w:val="21"/>
              </w:rPr>
              <w:t>+</w:t>
            </w:r>
            <w:r w:rsidRPr="00FA7B19">
              <w:rPr>
                <w:rFonts w:ascii="Times New Roman" w:hAnsi="Times New Roman" w:cs="Times New Roman" w:hint="eastAsia"/>
                <w:color w:val="auto"/>
                <w:sz w:val="21"/>
              </w:rPr>
              <w:t>低温等离子</w:t>
            </w:r>
            <w:r w:rsidRPr="00FA7B19">
              <w:rPr>
                <w:rFonts w:ascii="Times New Roman" w:hAnsi="Times New Roman" w:cs="Times New Roman"/>
                <w:color w:val="auto"/>
                <w:sz w:val="21"/>
              </w:rPr>
              <w:t>+</w:t>
            </w:r>
            <w:r w:rsidRPr="00FA7B19">
              <w:rPr>
                <w:rFonts w:ascii="Times New Roman" w:hAnsi="Times New Roman" w:cs="Times New Roman"/>
                <w:color w:val="auto"/>
                <w:sz w:val="21"/>
              </w:rPr>
              <w:t>活性炭吸附</w:t>
            </w:r>
            <w:r w:rsidRPr="00FA7B19">
              <w:rPr>
                <w:rFonts w:ascii="Times New Roman" w:hAnsi="Times New Roman" w:cs="Times New Roman" w:hint="eastAsia"/>
                <w:color w:val="auto"/>
                <w:sz w:val="21"/>
              </w:rPr>
              <w:t>设施进行</w:t>
            </w:r>
            <w:r w:rsidRPr="00FA7B19">
              <w:rPr>
                <w:rFonts w:ascii="Times New Roman" w:hAnsi="Times New Roman" w:cs="Times New Roman"/>
                <w:color w:val="auto"/>
                <w:sz w:val="21"/>
              </w:rPr>
              <w:t>处理，最后通过</w:t>
            </w:r>
            <w:r w:rsidRPr="00FA7B19">
              <w:rPr>
                <w:rFonts w:ascii="Times New Roman" w:hAnsi="Times New Roman" w:cs="Times New Roman"/>
                <w:color w:val="auto"/>
                <w:sz w:val="21"/>
              </w:rPr>
              <w:t>15m</w:t>
            </w:r>
            <w:r w:rsidRPr="00FA7B19">
              <w:rPr>
                <w:rFonts w:ascii="Times New Roman" w:hAnsi="Times New Roman" w:cs="Times New Roman"/>
                <w:color w:val="auto"/>
                <w:sz w:val="21"/>
              </w:rPr>
              <w:lastRenderedPageBreak/>
              <w:t>高排气筒排放，能够同时满足《橡胶制品工业污染物排放标准》（</w:t>
            </w:r>
            <w:r w:rsidRPr="00FA7B19">
              <w:rPr>
                <w:rFonts w:ascii="Times New Roman" w:hAnsi="Times New Roman" w:cs="Times New Roman"/>
                <w:color w:val="auto"/>
                <w:sz w:val="21"/>
              </w:rPr>
              <w:t>GB27632-2011</w:t>
            </w:r>
            <w:r w:rsidRPr="00FA7B19">
              <w:rPr>
                <w:rFonts w:ascii="Times New Roman" w:hAnsi="Times New Roman" w:cs="Times New Roman"/>
                <w:color w:val="auto"/>
                <w:sz w:val="21"/>
              </w:rPr>
              <w:t>）表</w:t>
            </w:r>
            <w:r w:rsidRPr="00FA7B19">
              <w:rPr>
                <w:rFonts w:ascii="Times New Roman" w:hAnsi="Times New Roman" w:cs="Times New Roman"/>
                <w:color w:val="auto"/>
                <w:sz w:val="21"/>
              </w:rPr>
              <w:t>5</w:t>
            </w:r>
            <w:r w:rsidRPr="00FA7B19">
              <w:rPr>
                <w:rFonts w:ascii="Times New Roman" w:hAnsi="Times New Roman" w:cs="Times New Roman"/>
                <w:color w:val="auto"/>
                <w:sz w:val="21"/>
              </w:rPr>
              <w:t>非甲烷总烃排放限值和</w:t>
            </w:r>
            <w:r w:rsidRPr="00FA7B19">
              <w:rPr>
                <w:rFonts w:ascii="Times New Roman" w:hAnsi="Times New Roman" w:cs="Times New Roman"/>
                <w:color w:val="auto"/>
                <w:sz w:val="21"/>
                <w:szCs w:val="21"/>
              </w:rPr>
              <w:t>《关于全省开展工业企业挥发性有机物专项治理工作中排放建议值的通知》（豫环攻坚办【</w:t>
            </w:r>
            <w:r w:rsidRPr="00FA7B19">
              <w:rPr>
                <w:rFonts w:ascii="Times New Roman" w:hAnsi="Times New Roman" w:cs="Times New Roman"/>
                <w:color w:val="auto"/>
                <w:sz w:val="21"/>
                <w:szCs w:val="21"/>
              </w:rPr>
              <w:t>2017</w:t>
            </w:r>
            <w:r w:rsidRPr="00FA7B19">
              <w:rPr>
                <w:rFonts w:ascii="Times New Roman" w:hAnsi="Times New Roman" w:cs="Times New Roman"/>
                <w:color w:val="auto"/>
                <w:sz w:val="21"/>
                <w:szCs w:val="21"/>
              </w:rPr>
              <w:t>】</w:t>
            </w:r>
            <w:r w:rsidRPr="00FA7B19">
              <w:rPr>
                <w:rFonts w:ascii="Times New Roman" w:hAnsi="Times New Roman" w:cs="Times New Roman"/>
                <w:color w:val="auto"/>
                <w:sz w:val="21"/>
                <w:szCs w:val="21"/>
              </w:rPr>
              <w:t>162</w:t>
            </w:r>
            <w:r w:rsidRPr="00FA7B19">
              <w:rPr>
                <w:rFonts w:ascii="Times New Roman" w:hAnsi="Times New Roman" w:cs="Times New Roman"/>
                <w:color w:val="auto"/>
                <w:sz w:val="21"/>
                <w:szCs w:val="21"/>
              </w:rPr>
              <w:t>号）附件</w:t>
            </w:r>
            <w:r w:rsidRPr="00FA7B19">
              <w:rPr>
                <w:rFonts w:ascii="Times New Roman" w:hAnsi="Times New Roman" w:cs="Times New Roman"/>
                <w:color w:val="auto"/>
                <w:sz w:val="21"/>
                <w:szCs w:val="21"/>
              </w:rPr>
              <w:t>1</w:t>
            </w:r>
            <w:r w:rsidRPr="00FA7B19">
              <w:rPr>
                <w:rFonts w:ascii="Times New Roman" w:hAnsi="Times New Roman" w:cs="Times New Roman"/>
                <w:color w:val="auto"/>
                <w:sz w:val="21"/>
                <w:szCs w:val="21"/>
              </w:rPr>
              <w:t>其他工业非甲烷总烃排放限值要求。</w:t>
            </w:r>
          </w:p>
          <w:p w:rsidR="00FA7B19" w:rsidRPr="00FA7B19" w:rsidRDefault="00FA7B19" w:rsidP="00FA7B19">
            <w:pPr>
              <w:pStyle w:val="Default"/>
              <w:adjustRightInd/>
              <w:ind w:firstLineChars="200" w:firstLine="420"/>
              <w:rPr>
                <w:rFonts w:ascii="Times New Roman" w:hAnsi="Times New Roman" w:cs="Times New Roman"/>
                <w:color w:val="auto"/>
                <w:sz w:val="21"/>
                <w:szCs w:val="23"/>
              </w:rPr>
            </w:pPr>
            <w:r w:rsidRPr="00FA7B19">
              <w:rPr>
                <w:rFonts w:ascii="Times New Roman" w:hAnsi="Times New Roman" w:cs="Times New Roman"/>
                <w:color w:val="auto"/>
                <w:sz w:val="21"/>
              </w:rPr>
              <w:t>丝印、点碳、烘干和压合封袋工段有机废气拟通过集气罩</w:t>
            </w:r>
            <w:r w:rsidRPr="00FA7B19">
              <w:rPr>
                <w:rFonts w:ascii="Times New Roman" w:hAnsi="Times New Roman" w:cs="Times New Roman"/>
                <w:color w:val="auto"/>
                <w:sz w:val="21"/>
              </w:rPr>
              <w:t>+</w:t>
            </w:r>
            <w:r w:rsidRPr="00FA7B19">
              <w:rPr>
                <w:rFonts w:ascii="Times New Roman" w:hAnsi="Times New Roman" w:cs="Times New Roman"/>
                <w:color w:val="auto"/>
                <w:sz w:val="21"/>
              </w:rPr>
              <w:t>车间负压抽风收集生产过程产生的有机废气，收集后的有机废气通过</w:t>
            </w:r>
            <w:r w:rsidRPr="00FA7B19">
              <w:rPr>
                <w:rFonts w:ascii="Times New Roman" w:hAnsi="Times New Roman" w:cs="Times New Roman" w:hint="eastAsia"/>
                <w:color w:val="auto"/>
                <w:sz w:val="21"/>
              </w:rPr>
              <w:t>水喷淋</w:t>
            </w:r>
            <w:r w:rsidRPr="00FA7B19">
              <w:rPr>
                <w:rFonts w:ascii="Times New Roman" w:hAnsi="Times New Roman" w:cs="Times New Roman" w:hint="eastAsia"/>
                <w:color w:val="auto"/>
                <w:sz w:val="21"/>
              </w:rPr>
              <w:t>+</w:t>
            </w:r>
            <w:r w:rsidRPr="00FA7B19">
              <w:rPr>
                <w:rFonts w:ascii="Times New Roman" w:hAnsi="Times New Roman" w:cs="Times New Roman" w:hint="eastAsia"/>
                <w:color w:val="auto"/>
                <w:sz w:val="21"/>
              </w:rPr>
              <w:t>低温等离子</w:t>
            </w:r>
            <w:r w:rsidRPr="00FA7B19">
              <w:rPr>
                <w:rFonts w:ascii="Times New Roman" w:hAnsi="Times New Roman" w:cs="Times New Roman"/>
                <w:color w:val="auto"/>
                <w:sz w:val="21"/>
              </w:rPr>
              <w:t>+</w:t>
            </w:r>
            <w:r w:rsidRPr="00FA7B19">
              <w:rPr>
                <w:rFonts w:ascii="Times New Roman" w:hAnsiTheme="minorEastAsia" w:cs="Times New Roman"/>
                <w:color w:val="auto"/>
                <w:sz w:val="21"/>
                <w:szCs w:val="23"/>
              </w:rPr>
              <w:t>活性炭吸附装置进行处理，</w:t>
            </w:r>
            <w:r w:rsidRPr="00FA7B19">
              <w:rPr>
                <w:rFonts w:ascii="Times New Roman" w:hAnsi="Times New Roman" w:cs="Times New Roman"/>
                <w:color w:val="auto"/>
                <w:sz w:val="21"/>
              </w:rPr>
              <w:t>能够同时满足《印刷工业挥发性有机物排放浓度》（</w:t>
            </w:r>
            <w:r w:rsidRPr="00FA7B19">
              <w:rPr>
                <w:rFonts w:ascii="Times New Roman" w:hAnsi="Times New Roman" w:cs="Times New Roman"/>
                <w:color w:val="auto"/>
                <w:sz w:val="21"/>
              </w:rPr>
              <w:t>DB41/1956-2020</w:t>
            </w:r>
            <w:r w:rsidRPr="00FA7B19">
              <w:rPr>
                <w:rFonts w:ascii="Times New Roman" w:hAnsi="Times New Roman" w:cs="Times New Roman"/>
                <w:color w:val="auto"/>
                <w:sz w:val="21"/>
              </w:rPr>
              <w:t>）表</w:t>
            </w:r>
            <w:r w:rsidRPr="00FA7B19">
              <w:rPr>
                <w:rFonts w:ascii="Times New Roman" w:hAnsi="Times New Roman" w:cs="Times New Roman"/>
                <w:color w:val="auto"/>
                <w:sz w:val="21"/>
              </w:rPr>
              <w:t>1</w:t>
            </w:r>
            <w:r w:rsidRPr="00FA7B19">
              <w:rPr>
                <w:rFonts w:ascii="Times New Roman" w:hAnsi="Times New Roman" w:cs="Times New Roman"/>
                <w:color w:val="auto"/>
                <w:sz w:val="21"/>
              </w:rPr>
              <w:t>非甲烷总烃排放限值和</w:t>
            </w:r>
            <w:r w:rsidRPr="00FA7B19">
              <w:rPr>
                <w:rFonts w:ascii="Times New Roman" w:hAnsi="Times New Roman" w:cs="Times New Roman"/>
                <w:color w:val="auto"/>
                <w:sz w:val="21"/>
                <w:szCs w:val="21"/>
              </w:rPr>
              <w:t>《关于全省开展工业企业挥发性有机物专项治理工作中排放建议值的通知》（豫环攻坚办【</w:t>
            </w:r>
            <w:r w:rsidRPr="00FA7B19">
              <w:rPr>
                <w:rFonts w:ascii="Times New Roman" w:hAnsi="Times New Roman" w:cs="Times New Roman"/>
                <w:color w:val="auto"/>
                <w:sz w:val="21"/>
                <w:szCs w:val="21"/>
              </w:rPr>
              <w:t>2017</w:t>
            </w:r>
            <w:r w:rsidRPr="00FA7B19">
              <w:rPr>
                <w:rFonts w:ascii="Times New Roman" w:hAnsi="Times New Roman" w:cs="Times New Roman"/>
                <w:color w:val="auto"/>
                <w:sz w:val="21"/>
                <w:szCs w:val="21"/>
              </w:rPr>
              <w:t>】</w:t>
            </w:r>
            <w:r w:rsidRPr="00FA7B19">
              <w:rPr>
                <w:rFonts w:ascii="Times New Roman" w:hAnsi="Times New Roman" w:cs="Times New Roman"/>
                <w:color w:val="auto"/>
                <w:sz w:val="21"/>
                <w:szCs w:val="21"/>
              </w:rPr>
              <w:t>162</w:t>
            </w:r>
            <w:r w:rsidRPr="00FA7B19">
              <w:rPr>
                <w:rFonts w:ascii="Times New Roman" w:hAnsi="Times New Roman" w:cs="Times New Roman"/>
                <w:color w:val="auto"/>
                <w:sz w:val="21"/>
                <w:szCs w:val="21"/>
              </w:rPr>
              <w:t>号）附件</w:t>
            </w:r>
            <w:r w:rsidRPr="00FA7B19">
              <w:rPr>
                <w:rFonts w:ascii="Times New Roman" w:hAnsi="Times New Roman" w:cs="Times New Roman"/>
                <w:color w:val="auto"/>
                <w:sz w:val="21"/>
                <w:szCs w:val="21"/>
              </w:rPr>
              <w:t>1</w:t>
            </w:r>
            <w:r w:rsidRPr="00FA7B19">
              <w:rPr>
                <w:rFonts w:ascii="Times New Roman" w:hAnsi="Times New Roman" w:cs="Times New Roman"/>
                <w:color w:val="auto"/>
                <w:sz w:val="21"/>
                <w:szCs w:val="21"/>
              </w:rPr>
              <w:t>印刷工业非甲烷总烃排放限值要求，最后通过</w:t>
            </w:r>
            <w:r w:rsidRPr="00FA7B19">
              <w:rPr>
                <w:rFonts w:ascii="Times New Roman" w:hAnsi="Times New Roman" w:cs="Times New Roman"/>
                <w:color w:val="auto"/>
                <w:sz w:val="21"/>
                <w:szCs w:val="21"/>
              </w:rPr>
              <w:t>15m</w:t>
            </w:r>
            <w:r w:rsidRPr="00FA7B19">
              <w:rPr>
                <w:rFonts w:ascii="Times New Roman" w:hAnsi="Times New Roman" w:cs="Times New Roman"/>
                <w:color w:val="auto"/>
                <w:sz w:val="21"/>
                <w:szCs w:val="21"/>
              </w:rPr>
              <w:t>高排气筒进行排放</w:t>
            </w:r>
            <w:r w:rsidRPr="00FA7B19">
              <w:rPr>
                <w:rFonts w:ascii="Times New Roman" w:hAnsi="Times New Roman" w:cs="Times New Roman" w:hint="eastAsia"/>
                <w:color w:val="auto"/>
                <w:sz w:val="21"/>
                <w:szCs w:val="21"/>
              </w:rPr>
              <w:t>。</w:t>
            </w:r>
          </w:p>
          <w:p w:rsidR="003A60E6" w:rsidRPr="003A60E6" w:rsidRDefault="003A60E6" w:rsidP="00FA7B19">
            <w:pPr>
              <w:ind w:firstLineChars="200" w:firstLine="420"/>
              <w:jc w:val="left"/>
              <w:rPr>
                <w:rFonts w:ascii="Times New Roman" w:hAnsi="Times New Roman" w:cs="Times New Roman"/>
                <w:szCs w:val="21"/>
              </w:rPr>
            </w:pPr>
            <w:r w:rsidRPr="003A60E6">
              <w:rPr>
                <w:rFonts w:ascii="Times New Roman" w:hAnsi="Times New Roman" w:cs="Times New Roman"/>
                <w:szCs w:val="21"/>
              </w:rPr>
              <w:t>厂区设有食堂，本项目油烟</w:t>
            </w:r>
            <w:r w:rsidRPr="003A60E6">
              <w:rPr>
                <w:rFonts w:ascii="Times New Roman" w:hAnsi="Times New Roman" w:cs="Times New Roman" w:hint="eastAsia"/>
                <w:szCs w:val="21"/>
              </w:rPr>
              <w:t>采用集气罩收集，再经油烟净化器进行净化处理，最后通过高于屋顶的排气筒进行达标排放，排放的油烟能够满足河南省地方标准《餐饮业油烟污染物排放标准》（</w:t>
            </w:r>
            <w:r w:rsidRPr="003A60E6">
              <w:rPr>
                <w:rFonts w:ascii="Times New Roman" w:hAnsi="Times New Roman" w:cs="Times New Roman" w:hint="eastAsia"/>
                <w:szCs w:val="21"/>
              </w:rPr>
              <w:t>DB41/1604-2018</w:t>
            </w:r>
            <w:r w:rsidRPr="003A60E6">
              <w:rPr>
                <w:rFonts w:ascii="Times New Roman" w:hAnsi="Times New Roman" w:cs="Times New Roman" w:hint="eastAsia"/>
                <w:szCs w:val="21"/>
              </w:rPr>
              <w:t>）表</w:t>
            </w:r>
            <w:r w:rsidRPr="003A60E6">
              <w:rPr>
                <w:rFonts w:ascii="Times New Roman" w:hAnsi="Times New Roman" w:cs="Times New Roman" w:hint="eastAsia"/>
                <w:szCs w:val="21"/>
              </w:rPr>
              <w:t>1</w:t>
            </w:r>
            <w:r w:rsidRPr="003A60E6">
              <w:rPr>
                <w:rFonts w:ascii="Times New Roman" w:hAnsi="Times New Roman" w:cs="Times New Roman" w:hint="eastAsia"/>
                <w:szCs w:val="21"/>
              </w:rPr>
              <w:t>小型油烟排放限值要求</w:t>
            </w:r>
            <w:r w:rsidRPr="003A60E6">
              <w:rPr>
                <w:rFonts w:ascii="Times New Roman" w:hAnsi="Times New Roman" w:cs="Times New Roman"/>
                <w:szCs w:val="21"/>
              </w:rPr>
              <w:t>。</w:t>
            </w:r>
          </w:p>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水环境：</w:t>
            </w:r>
          </w:p>
          <w:p w:rsidR="00FA7B19" w:rsidRPr="00FA7B19" w:rsidRDefault="00FA7B19" w:rsidP="00FA7B19">
            <w:pPr>
              <w:ind w:firstLineChars="200" w:firstLine="420"/>
              <w:rPr>
                <w:rFonts w:hAnsiTheme="minorEastAsia" w:cs="Times New Roman"/>
                <w:szCs w:val="21"/>
              </w:rPr>
            </w:pPr>
            <w:r w:rsidRPr="00FA7B19">
              <w:rPr>
                <w:rFonts w:cs="Times New Roman" w:hint="eastAsia"/>
                <w:szCs w:val="21"/>
              </w:rPr>
              <w:t>本项目营运期废水主要来自车间清洗废水和生活污水。</w:t>
            </w:r>
            <w:r w:rsidRPr="00FA7B19">
              <w:rPr>
                <w:rFonts w:asciiTheme="minorEastAsia" w:hAnsiTheme="minorEastAsia" w:cs="Times New Roman" w:hint="eastAsia"/>
                <w:szCs w:val="21"/>
              </w:rPr>
              <w:t>项目车间采用拖布清洗，地面清洗废水均通过自然蒸发进入大气环境，无车间冲洗废水排放，</w:t>
            </w:r>
            <w:r w:rsidRPr="00FA7B19">
              <w:rPr>
                <w:rFonts w:hAnsiTheme="minorEastAsia" w:cs="Times New Roman"/>
                <w:szCs w:val="21"/>
              </w:rPr>
              <w:t>仅有少量拖布冲洗废水，</w:t>
            </w:r>
            <w:r w:rsidRPr="00FA7B19">
              <w:rPr>
                <w:rFonts w:cs="Times New Roman" w:hint="eastAsia"/>
                <w:szCs w:val="21"/>
              </w:rPr>
              <w:t>污染物主要为</w:t>
            </w:r>
            <w:r w:rsidRPr="00FA7B19">
              <w:rPr>
                <w:rFonts w:cs="Times New Roman" w:hint="eastAsia"/>
                <w:szCs w:val="21"/>
              </w:rPr>
              <w:t>SS</w:t>
            </w:r>
            <w:r w:rsidRPr="00FA7B19">
              <w:rPr>
                <w:rFonts w:cs="Times New Roman" w:hint="eastAsia"/>
                <w:szCs w:val="21"/>
              </w:rPr>
              <w:t>，</w:t>
            </w:r>
            <w:r w:rsidRPr="00FA7B19">
              <w:rPr>
                <w:rFonts w:hAnsiTheme="minorEastAsia" w:cs="Times New Roman"/>
                <w:szCs w:val="21"/>
              </w:rPr>
              <w:t>随生活污水一并进入市政污水管网中进行</w:t>
            </w:r>
            <w:r w:rsidRPr="00FA7B19">
              <w:rPr>
                <w:rFonts w:hAnsiTheme="minorEastAsia" w:cs="Times New Roman" w:hint="eastAsia"/>
                <w:szCs w:val="21"/>
              </w:rPr>
              <w:t>。</w:t>
            </w:r>
          </w:p>
          <w:p w:rsidR="00FA7B19" w:rsidRPr="00FA7B19" w:rsidRDefault="00FA7B19" w:rsidP="00FA7B19">
            <w:pPr>
              <w:ind w:firstLineChars="200" w:firstLine="420"/>
              <w:rPr>
                <w:szCs w:val="21"/>
              </w:rPr>
            </w:pPr>
            <w:r w:rsidRPr="00FA7B19">
              <w:rPr>
                <w:rFonts w:hAnsiTheme="minorEastAsia" w:cs="Times New Roman"/>
                <w:kern w:val="0"/>
                <w:szCs w:val="21"/>
              </w:rPr>
              <w:t>项目营运期</w:t>
            </w:r>
            <w:r w:rsidRPr="00FA7B19">
              <w:rPr>
                <w:rFonts w:hAnsiTheme="minorEastAsia" w:cs="Times New Roman" w:hint="eastAsia"/>
                <w:kern w:val="0"/>
                <w:szCs w:val="21"/>
              </w:rPr>
              <w:t>烘干冷却以及混炼调色工序</w:t>
            </w:r>
            <w:r w:rsidRPr="00FA7B19">
              <w:rPr>
                <w:rFonts w:hAnsiTheme="minorEastAsia" w:cs="Times New Roman"/>
                <w:kern w:val="0"/>
                <w:szCs w:val="21"/>
              </w:rPr>
              <w:t>冷却循环</w:t>
            </w:r>
            <w:r w:rsidRPr="00FA7B19">
              <w:rPr>
                <w:rFonts w:hAnsiTheme="minorEastAsia" w:cs="Times New Roman" w:hint="eastAsia"/>
                <w:kern w:val="0"/>
                <w:szCs w:val="21"/>
              </w:rPr>
              <w:t>水</w:t>
            </w:r>
            <w:r w:rsidRPr="00FA7B19">
              <w:rPr>
                <w:rFonts w:hAnsiTheme="minorEastAsia" w:cs="Times New Roman"/>
                <w:kern w:val="0"/>
                <w:szCs w:val="21"/>
              </w:rPr>
              <w:t>属于清下水，</w:t>
            </w:r>
            <w:r w:rsidRPr="00FA7B19">
              <w:rPr>
                <w:rFonts w:hAnsiTheme="minorEastAsia" w:cs="Times New Roman" w:hint="eastAsia"/>
                <w:kern w:val="0"/>
                <w:szCs w:val="21"/>
              </w:rPr>
              <w:t>通过厂区污水总排口</w:t>
            </w:r>
            <w:r w:rsidRPr="00FA7B19">
              <w:rPr>
                <w:rFonts w:hAnsiTheme="minorEastAsia" w:cs="Times New Roman"/>
                <w:kern w:val="0"/>
                <w:szCs w:val="21"/>
              </w:rPr>
              <w:t>进入市政</w:t>
            </w:r>
            <w:r w:rsidRPr="00FA7B19">
              <w:rPr>
                <w:rFonts w:hAnsiTheme="minorEastAsia" w:cs="Times New Roman" w:hint="eastAsia"/>
                <w:kern w:val="0"/>
                <w:szCs w:val="21"/>
              </w:rPr>
              <w:t>污水</w:t>
            </w:r>
            <w:r w:rsidRPr="00FA7B19">
              <w:rPr>
                <w:rFonts w:hAnsiTheme="minorEastAsia" w:cs="Times New Roman"/>
                <w:kern w:val="0"/>
                <w:szCs w:val="21"/>
              </w:rPr>
              <w:t>管网。</w:t>
            </w:r>
          </w:p>
          <w:p w:rsidR="00FA7B19" w:rsidRPr="00FA7B19" w:rsidRDefault="00FA7B19" w:rsidP="00FA7B19">
            <w:pPr>
              <w:ind w:firstLineChars="200" w:firstLine="420"/>
              <w:jc w:val="left"/>
              <w:rPr>
                <w:rFonts w:ascii="Times New Roman" w:hAnsi="Times New Roman" w:cs="Times New Roman" w:hint="eastAsia"/>
                <w:szCs w:val="21"/>
              </w:rPr>
            </w:pPr>
            <w:r w:rsidRPr="00FA7B19">
              <w:rPr>
                <w:rFonts w:hAnsiTheme="minorEastAsia" w:cs="Times New Roman" w:hint="eastAsia"/>
                <w:szCs w:val="21"/>
              </w:rPr>
              <w:t>本项目经地埋式化粪池预处理后的生活污水与车间地面清洗废水混合后由厂区总排口一并排入市政污水管网，最后进入唐河县产业集聚区污水处理厂进行处理达标后排入唐河。</w:t>
            </w:r>
          </w:p>
          <w:p w:rsidR="003A60E6"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声环境：</w:t>
            </w:r>
          </w:p>
          <w:p w:rsidR="00E26E5F" w:rsidRDefault="00FA7B19" w:rsidP="00FA7B19">
            <w:pPr>
              <w:ind w:firstLineChars="200" w:firstLine="420"/>
              <w:rPr>
                <w:rFonts w:ascii="Times New Roman" w:eastAsia="宋体" w:hAnsi="Times New Roman" w:cs="Times New Roman"/>
                <w:szCs w:val="21"/>
              </w:rPr>
            </w:pPr>
            <w:r w:rsidRPr="00FA7B19">
              <w:rPr>
                <w:rFonts w:hint="eastAsia"/>
              </w:rPr>
              <w:t>本项目的噪声源主要为出片机、成型机、空压机、铣床、吹膜机组、分切机等设备运行时产生的噪声，</w:t>
            </w:r>
            <w:r w:rsidRPr="00FA7B19">
              <w:rPr>
                <w:rFonts w:eastAsia="宋体" w:cs="Times New Roman"/>
                <w:kern w:val="0"/>
              </w:rPr>
              <w:t>经过采取合理布局，减振、隔声、距离衰减等措施后，营运期生产噪声对四周厂界的噪声贡献值均可满足《工业企业厂界环境噪声排放标准》（</w:t>
            </w:r>
            <w:r w:rsidRPr="00FA7B19">
              <w:rPr>
                <w:rFonts w:eastAsia="宋体" w:cs="Times New Roman"/>
                <w:kern w:val="0"/>
              </w:rPr>
              <w:t>GB12348-2008</w:t>
            </w:r>
            <w:r w:rsidRPr="00FA7B19">
              <w:rPr>
                <w:rFonts w:eastAsia="宋体" w:cs="Times New Roman"/>
                <w:kern w:val="0"/>
              </w:rPr>
              <w:t>）</w:t>
            </w:r>
            <w:r w:rsidRPr="00FA7B19">
              <w:rPr>
                <w:rFonts w:eastAsia="宋体" w:cs="Times New Roman"/>
                <w:kern w:val="0"/>
              </w:rPr>
              <w:t>2</w:t>
            </w:r>
            <w:r w:rsidRPr="00FA7B19">
              <w:rPr>
                <w:rFonts w:eastAsia="宋体" w:cs="Times New Roman"/>
                <w:kern w:val="0"/>
              </w:rPr>
              <w:t>类区标准要求</w:t>
            </w:r>
            <w:r>
              <w:rPr>
                <w:rFonts w:eastAsia="宋体" w:cs="Times New Roman" w:hint="eastAsia"/>
                <w:kern w:val="0"/>
              </w:rPr>
              <w:t>，</w:t>
            </w:r>
            <w:r w:rsidR="00831588">
              <w:rPr>
                <w:rFonts w:ascii="Times New Roman" w:eastAsia="宋体" w:hAnsi="Times New Roman" w:cs="Times New Roman" w:hint="eastAsia"/>
                <w:szCs w:val="21"/>
              </w:rPr>
              <w:t>对周围环境影响不大</w:t>
            </w:r>
            <w:r w:rsidR="00831588">
              <w:rPr>
                <w:rFonts w:ascii="宋体" w:eastAsia="宋体" w:hAnsi="宋体" w:hint="eastAsia"/>
                <w:szCs w:val="21"/>
              </w:rPr>
              <w:t>。</w:t>
            </w:r>
          </w:p>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p>
          <w:p w:rsidR="00FA7B19" w:rsidRPr="00FA7B19" w:rsidRDefault="00FA7B19" w:rsidP="00FA7B19">
            <w:pPr>
              <w:autoSpaceDE w:val="0"/>
              <w:autoSpaceDN w:val="0"/>
              <w:ind w:firstLineChars="200" w:firstLine="420"/>
              <w:rPr>
                <w:rFonts w:ascii="宋体" w:eastAsia="宋体" w:cs="宋体"/>
                <w:kern w:val="0"/>
              </w:rPr>
            </w:pPr>
            <w:r w:rsidRPr="00FA7B19">
              <w:rPr>
                <w:rFonts w:ascii="宋体" w:eastAsia="宋体" w:cs="宋体" w:hint="eastAsia"/>
                <w:kern w:val="0"/>
              </w:rPr>
              <w:t>本项目营运期固体废物主要包括一般工业固废、危险废物及职工生活垃圾、化粪池污泥。</w:t>
            </w:r>
          </w:p>
          <w:p w:rsidR="00E26E5F" w:rsidRPr="00FA7B19" w:rsidRDefault="00FA7B19" w:rsidP="00FA7B19">
            <w:pPr>
              <w:ind w:firstLineChars="200" w:firstLine="420"/>
              <w:rPr>
                <w:rFonts w:ascii="Times New Roman" w:hAnsi="Times New Roman" w:cs="Times New Roman"/>
                <w:szCs w:val="21"/>
              </w:rPr>
            </w:pPr>
            <w:r w:rsidRPr="00FA7B19">
              <w:rPr>
                <w:rFonts w:hAnsiTheme="minorEastAsia" w:cs="Times New Roman"/>
                <w:szCs w:val="23"/>
              </w:rPr>
              <w:lastRenderedPageBreak/>
              <w:t>本项目</w:t>
            </w:r>
            <w:r w:rsidRPr="00FA7B19">
              <w:rPr>
                <w:rFonts w:hAnsiTheme="minorEastAsia" w:cs="Times New Roman" w:hint="eastAsia"/>
                <w:szCs w:val="23"/>
              </w:rPr>
              <w:t>分切和切边</w:t>
            </w:r>
            <w:r w:rsidRPr="00FA7B19">
              <w:rPr>
                <w:rFonts w:hAnsiTheme="minorEastAsia" w:cs="Times New Roman"/>
                <w:szCs w:val="23"/>
              </w:rPr>
              <w:t>工序</w:t>
            </w:r>
            <w:r w:rsidRPr="00FA7B19">
              <w:rPr>
                <w:rFonts w:hAnsiTheme="minorEastAsia" w:cs="Times New Roman" w:hint="eastAsia"/>
                <w:szCs w:val="23"/>
              </w:rPr>
              <w:t>废</w:t>
            </w:r>
            <w:r w:rsidRPr="00FA7B19">
              <w:rPr>
                <w:rFonts w:hAnsiTheme="minorEastAsia" w:cs="Times New Roman"/>
                <w:szCs w:val="23"/>
              </w:rPr>
              <w:t>边角料</w:t>
            </w:r>
            <w:r w:rsidRPr="00FA7B19">
              <w:rPr>
                <w:rFonts w:hAnsiTheme="minorEastAsia" w:cs="Times New Roman" w:hint="eastAsia"/>
                <w:szCs w:val="23"/>
              </w:rPr>
              <w:t>、</w:t>
            </w:r>
            <w:r w:rsidRPr="00FA7B19">
              <w:rPr>
                <w:rFonts w:hAnsiTheme="minorEastAsia" w:cs="Times New Roman"/>
                <w:szCs w:val="23"/>
              </w:rPr>
              <w:t>硅橡胶包装袋</w:t>
            </w:r>
            <w:r w:rsidRPr="00FA7B19">
              <w:rPr>
                <w:rFonts w:hAnsiTheme="minorEastAsia" w:cs="Times New Roman" w:hint="eastAsia"/>
                <w:szCs w:val="23"/>
              </w:rPr>
              <w:t>、原料桶、原料袋和箱等一般固体废物</w:t>
            </w:r>
            <w:r w:rsidRPr="00FA7B19">
              <w:rPr>
                <w:rFonts w:cs="Times New Roman" w:hint="eastAsia"/>
                <w:szCs w:val="23"/>
              </w:rPr>
              <w:t>拟收集后分类暂存于厂区一般固废暂存间指定位置，随后</w:t>
            </w:r>
            <w:r>
              <w:rPr>
                <w:rFonts w:cs="Times New Roman" w:hint="eastAsia"/>
                <w:szCs w:val="23"/>
              </w:rPr>
              <w:t>分类</w:t>
            </w:r>
            <w:r w:rsidRPr="00FA7B19">
              <w:rPr>
                <w:rFonts w:cs="Times New Roman" w:hint="eastAsia"/>
                <w:szCs w:val="23"/>
              </w:rPr>
              <w:t>外售处理</w:t>
            </w:r>
            <w:r w:rsidRPr="00FA7B19">
              <w:rPr>
                <w:rFonts w:hAnsiTheme="minorEastAsia" w:cs="Times New Roman" w:hint="eastAsia"/>
                <w:szCs w:val="23"/>
              </w:rPr>
              <w:t>；除尘器收尘收集至固定容器内，随后定期交由当地环卫部门清运处理；废</w:t>
            </w:r>
            <w:r w:rsidRPr="00FA7B19">
              <w:rPr>
                <w:rFonts w:hAnsiTheme="minorEastAsia" w:cs="Times New Roman"/>
                <w:szCs w:val="23"/>
              </w:rPr>
              <w:t>含油抹布与生活垃圾混合，由环卫部门定期清运处理</w:t>
            </w:r>
            <w:r w:rsidRPr="00FA7B19">
              <w:rPr>
                <w:rFonts w:hAnsiTheme="minorEastAsia" w:cs="Times New Roman" w:hint="eastAsia"/>
                <w:szCs w:val="23"/>
              </w:rPr>
              <w:t>；化粪池污泥由抽粪车进行定期抽粪，随后由环卫部门清运至垃圾填埋场进行填埋处理。</w:t>
            </w:r>
          </w:p>
        </w:tc>
      </w:tr>
    </w:tbl>
    <w:p w:rsidR="00E26E5F" w:rsidRDefault="00E26E5F"/>
    <w:sectPr w:rsidR="00E26E5F" w:rsidSect="00E26E5F">
      <w:pgSz w:w="16783" w:h="11850"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2C" w:rsidRDefault="00A95A2C" w:rsidP="00FC15CC">
      <w:pPr>
        <w:ind w:firstLine="480"/>
      </w:pPr>
      <w:r>
        <w:separator/>
      </w:r>
    </w:p>
  </w:endnote>
  <w:endnote w:type="continuationSeparator" w:id="1">
    <w:p w:rsidR="00A95A2C" w:rsidRDefault="00A95A2C" w:rsidP="00FC15C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2C" w:rsidRDefault="00A95A2C" w:rsidP="00FC15CC">
      <w:pPr>
        <w:ind w:firstLine="480"/>
      </w:pPr>
      <w:r>
        <w:separator/>
      </w:r>
    </w:p>
  </w:footnote>
  <w:footnote w:type="continuationSeparator" w:id="1">
    <w:p w:rsidR="00A95A2C" w:rsidRDefault="00A95A2C" w:rsidP="00FC15CC">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98FD20"/>
    <w:multiLevelType w:val="multilevel"/>
    <w:tmpl w:val="AC98FD20"/>
    <w:lvl w:ilvl="0">
      <w:start w:val="1"/>
      <w:numFmt w:val="decimal"/>
      <w:lvlText w:val="%1."/>
      <w:lvlJc w:val="left"/>
      <w:pPr>
        <w:tabs>
          <w:tab w:val="left" w:pos="312"/>
        </w:tabs>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5B0D57"/>
    <w:rsid w:val="0000146B"/>
    <w:rsid w:val="00050831"/>
    <w:rsid w:val="000714DA"/>
    <w:rsid w:val="000D48E2"/>
    <w:rsid w:val="000D4B2B"/>
    <w:rsid w:val="000F171C"/>
    <w:rsid w:val="001208B1"/>
    <w:rsid w:val="0015630B"/>
    <w:rsid w:val="002D5C69"/>
    <w:rsid w:val="002F1852"/>
    <w:rsid w:val="003A60E6"/>
    <w:rsid w:val="003D187D"/>
    <w:rsid w:val="004044DF"/>
    <w:rsid w:val="00430897"/>
    <w:rsid w:val="00446175"/>
    <w:rsid w:val="004F49C2"/>
    <w:rsid w:val="00540112"/>
    <w:rsid w:val="005812C7"/>
    <w:rsid w:val="005962C5"/>
    <w:rsid w:val="005B42C4"/>
    <w:rsid w:val="005F071B"/>
    <w:rsid w:val="0063182C"/>
    <w:rsid w:val="0068177A"/>
    <w:rsid w:val="006D43A1"/>
    <w:rsid w:val="00803B3A"/>
    <w:rsid w:val="00831588"/>
    <w:rsid w:val="008A5865"/>
    <w:rsid w:val="009443A6"/>
    <w:rsid w:val="009C4E45"/>
    <w:rsid w:val="00A95A2C"/>
    <w:rsid w:val="00BD0541"/>
    <w:rsid w:val="00C62004"/>
    <w:rsid w:val="00CD3119"/>
    <w:rsid w:val="00D432EC"/>
    <w:rsid w:val="00D647E3"/>
    <w:rsid w:val="00DE438D"/>
    <w:rsid w:val="00E054C2"/>
    <w:rsid w:val="00E172FF"/>
    <w:rsid w:val="00E26E5F"/>
    <w:rsid w:val="00E97D42"/>
    <w:rsid w:val="00EE13E0"/>
    <w:rsid w:val="00F10A3A"/>
    <w:rsid w:val="00F377FB"/>
    <w:rsid w:val="00F75784"/>
    <w:rsid w:val="00F97AEF"/>
    <w:rsid w:val="00FA7B19"/>
    <w:rsid w:val="00FC15CC"/>
    <w:rsid w:val="00FE0A23"/>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703E29"/>
    <w:rsid w:val="0DA8333A"/>
    <w:rsid w:val="0EF60309"/>
    <w:rsid w:val="0FF031F7"/>
    <w:rsid w:val="104F4860"/>
    <w:rsid w:val="10FD15CC"/>
    <w:rsid w:val="110D5481"/>
    <w:rsid w:val="12E67383"/>
    <w:rsid w:val="12F36D34"/>
    <w:rsid w:val="12F65067"/>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291503"/>
    <w:rsid w:val="33B365C0"/>
    <w:rsid w:val="350032C9"/>
    <w:rsid w:val="3527377E"/>
    <w:rsid w:val="36FD424E"/>
    <w:rsid w:val="37075F83"/>
    <w:rsid w:val="3834059C"/>
    <w:rsid w:val="398A673A"/>
    <w:rsid w:val="3A2410DE"/>
    <w:rsid w:val="3A9F767F"/>
    <w:rsid w:val="3C561DEA"/>
    <w:rsid w:val="3D85592C"/>
    <w:rsid w:val="3F42224B"/>
    <w:rsid w:val="3F64197B"/>
    <w:rsid w:val="3FFE0C63"/>
    <w:rsid w:val="41AE3EB7"/>
    <w:rsid w:val="42FB71CD"/>
    <w:rsid w:val="439D411F"/>
    <w:rsid w:val="440820E9"/>
    <w:rsid w:val="452B25FD"/>
    <w:rsid w:val="455E7496"/>
    <w:rsid w:val="46EA1DD9"/>
    <w:rsid w:val="4878060E"/>
    <w:rsid w:val="48DC3DDB"/>
    <w:rsid w:val="49092027"/>
    <w:rsid w:val="495B0D57"/>
    <w:rsid w:val="49845261"/>
    <w:rsid w:val="4C101C89"/>
    <w:rsid w:val="4CA867EF"/>
    <w:rsid w:val="4E3E5A67"/>
    <w:rsid w:val="514A556A"/>
    <w:rsid w:val="52726BDA"/>
    <w:rsid w:val="528415A5"/>
    <w:rsid w:val="537C5348"/>
    <w:rsid w:val="53F628D3"/>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405C07"/>
    <w:rsid w:val="73A0562E"/>
    <w:rsid w:val="749142B9"/>
    <w:rsid w:val="75A50FCC"/>
    <w:rsid w:val="75D31A00"/>
    <w:rsid w:val="75FB270D"/>
    <w:rsid w:val="76977CE1"/>
    <w:rsid w:val="76D56AF4"/>
    <w:rsid w:val="76E22A71"/>
    <w:rsid w:val="77793341"/>
    <w:rsid w:val="792A0C56"/>
    <w:rsid w:val="79775BE4"/>
    <w:rsid w:val="7C093469"/>
    <w:rsid w:val="7C147853"/>
    <w:rsid w:val="7CD60C66"/>
    <w:rsid w:val="7E29676B"/>
    <w:rsid w:val="7F0D461C"/>
    <w:rsid w:val="7FD94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6E5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26E5F"/>
  </w:style>
  <w:style w:type="paragraph" w:styleId="a4">
    <w:name w:val="footer"/>
    <w:basedOn w:val="a"/>
    <w:link w:val="Char"/>
    <w:qFormat/>
    <w:rsid w:val="00E26E5F"/>
    <w:pPr>
      <w:tabs>
        <w:tab w:val="center" w:pos="4153"/>
        <w:tab w:val="right" w:pos="8306"/>
      </w:tabs>
      <w:snapToGrid w:val="0"/>
      <w:jc w:val="left"/>
    </w:pPr>
    <w:rPr>
      <w:sz w:val="18"/>
      <w:szCs w:val="18"/>
    </w:rPr>
  </w:style>
  <w:style w:type="paragraph" w:styleId="a5">
    <w:name w:val="header"/>
    <w:basedOn w:val="a"/>
    <w:link w:val="Char0"/>
    <w:qFormat/>
    <w:rsid w:val="00E26E5F"/>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E26E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E26E5F"/>
    <w:rPr>
      <w:kern w:val="2"/>
      <w:sz w:val="18"/>
      <w:szCs w:val="18"/>
    </w:rPr>
  </w:style>
  <w:style w:type="character" w:customStyle="1" w:styleId="Char">
    <w:name w:val="页脚 Char"/>
    <w:basedOn w:val="a1"/>
    <w:link w:val="a4"/>
    <w:qFormat/>
    <w:rsid w:val="00E26E5F"/>
    <w:rPr>
      <w:kern w:val="2"/>
      <w:sz w:val="18"/>
      <w:szCs w:val="18"/>
    </w:rPr>
  </w:style>
  <w:style w:type="character" w:customStyle="1" w:styleId="Char1">
    <w:name w:val="书正文 Char"/>
    <w:link w:val="a7"/>
    <w:qFormat/>
    <w:rsid w:val="00E26E5F"/>
    <w:rPr>
      <w:rFonts w:hAnsi="宋体"/>
      <w:kern w:val="2"/>
      <w:sz w:val="24"/>
      <w:szCs w:val="28"/>
    </w:rPr>
  </w:style>
  <w:style w:type="paragraph" w:customStyle="1" w:styleId="a7">
    <w:name w:val="书正文"/>
    <w:basedOn w:val="a"/>
    <w:link w:val="Char1"/>
    <w:qFormat/>
    <w:rsid w:val="00E26E5F"/>
    <w:pPr>
      <w:spacing w:line="360" w:lineRule="auto"/>
      <w:ind w:firstLineChars="200" w:firstLine="200"/>
    </w:pPr>
    <w:rPr>
      <w:rFonts w:hAnsi="宋体"/>
      <w:sz w:val="24"/>
      <w:szCs w:val="28"/>
    </w:rPr>
  </w:style>
  <w:style w:type="character" w:customStyle="1" w:styleId="CharCharCharChar1">
    <w:name w:val="Char Char Char Char1"/>
    <w:link w:val="CharCharChar"/>
    <w:qFormat/>
    <w:rsid w:val="00E26E5F"/>
    <w:rPr>
      <w:rFonts w:ascii="宋体" w:eastAsia="宋体" w:hAnsi="宋体" w:cs="宋体"/>
      <w:kern w:val="2"/>
      <w:sz w:val="24"/>
      <w:szCs w:val="24"/>
    </w:rPr>
  </w:style>
  <w:style w:type="paragraph" w:customStyle="1" w:styleId="CharCharChar">
    <w:name w:val="Char Char Char"/>
    <w:basedOn w:val="a"/>
    <w:link w:val="CharCharCharChar1"/>
    <w:qFormat/>
    <w:rsid w:val="00E26E5F"/>
    <w:pPr>
      <w:spacing w:line="360" w:lineRule="auto"/>
      <w:ind w:firstLineChars="200" w:firstLine="200"/>
    </w:pPr>
    <w:rPr>
      <w:rFonts w:ascii="宋体" w:eastAsia="宋体" w:hAnsi="宋体" w:cs="宋体"/>
      <w:sz w:val="24"/>
    </w:rPr>
  </w:style>
  <w:style w:type="paragraph" w:customStyle="1" w:styleId="Default">
    <w:name w:val="Default"/>
    <w:rsid w:val="00FA7B19"/>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327</Words>
  <Characters>1864</Characters>
  <Application>Microsoft Office Word</Application>
  <DocSecurity>0</DocSecurity>
  <Lines>15</Lines>
  <Paragraphs>4</Paragraphs>
  <ScaleCrop>false</ScaleCrop>
  <Company>微软中国</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25</cp:revision>
  <cp:lastPrinted>2019-06-18T00:32:00Z</cp:lastPrinted>
  <dcterms:created xsi:type="dcterms:W3CDTF">2016-02-25T08:15:00Z</dcterms:created>
  <dcterms:modified xsi:type="dcterms:W3CDTF">2020-11-24T08:46:00Z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