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3" w:lineRule="auto"/>
        <w:rPr>
          <w:rFonts w:ascii="Arial"/>
          <w:sz w:val="21"/>
        </w:rPr>
      </w:pPr>
    </w:p>
    <w:p>
      <w:pPr>
        <w:spacing w:before="104" w:line="224" w:lineRule="auto"/>
        <w:ind w:left="900"/>
        <w:rPr>
          <w:rFonts w:ascii="黑体" w:hAnsi="黑体" w:eastAsia="黑体" w:cs="黑体"/>
          <w:sz w:val="32"/>
          <w:szCs w:val="32"/>
        </w:rPr>
      </w:pPr>
    </w:p>
    <w:p>
      <w:pPr>
        <w:spacing w:before="214" w:line="221" w:lineRule="auto"/>
        <w:ind w:firstLine="1728" w:firstLineChars="400"/>
        <w:jc w:val="both"/>
        <w:rPr>
          <w:rFonts w:ascii="黑体" w:hAnsi="黑体" w:eastAsia="黑体" w:cs="黑体"/>
          <w:spacing w:val="36"/>
          <w:sz w:val="36"/>
          <w:szCs w:val="36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36"/>
          <w:sz w:val="36"/>
          <w:szCs w:val="36"/>
          <w:lang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唐河县先进制造业开发区</w:t>
      </w:r>
      <w:r>
        <w:rPr>
          <w:rFonts w:ascii="黑体" w:hAnsi="黑体" w:eastAsia="黑体" w:cs="黑体"/>
          <w:spacing w:val="36"/>
          <w:sz w:val="36"/>
          <w:szCs w:val="36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工程建设项目环境</w:t>
      </w:r>
    </w:p>
    <w:p>
      <w:pPr>
        <w:spacing w:before="214" w:line="221" w:lineRule="auto"/>
        <w:ind w:left="2559"/>
        <w:jc w:val="both"/>
        <w:rPr>
          <w:rFonts w:ascii="黑体" w:hAnsi="黑体" w:eastAsia="黑体" w:cs="黑体"/>
          <w:spacing w:val="35"/>
          <w:sz w:val="36"/>
          <w:szCs w:val="36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36"/>
          <w:sz w:val="36"/>
          <w:szCs w:val="36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评价</w:t>
      </w:r>
      <w:r>
        <w:rPr>
          <w:rFonts w:ascii="黑体" w:hAnsi="黑体" w:eastAsia="黑体" w:cs="黑体"/>
          <w:spacing w:val="44"/>
          <w:sz w:val="36"/>
          <w:szCs w:val="36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ascii="黑体" w:hAnsi="黑体" w:eastAsia="黑体" w:cs="黑体"/>
          <w:spacing w:val="35"/>
          <w:sz w:val="36"/>
          <w:szCs w:val="36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区域评估+告知承诺制”</w:t>
      </w:r>
    </w:p>
    <w:p>
      <w:pPr>
        <w:spacing w:before="214" w:line="221" w:lineRule="auto"/>
        <w:ind w:left="2559" w:firstLine="1720" w:firstLineChars="400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35"/>
          <w:sz w:val="36"/>
          <w:szCs w:val="36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应用指南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" w:line="221" w:lineRule="auto"/>
        <w:ind w:left="1529"/>
        <w:outlineLvl w:val="0"/>
        <w:rPr>
          <w:rFonts w:ascii="黑体" w:hAnsi="黑体" w:eastAsia="黑体" w:cs="黑体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一、适用范围</w:t>
      </w:r>
    </w:p>
    <w:p>
      <w:pPr>
        <w:spacing w:before="214" w:line="346" w:lineRule="auto"/>
        <w:ind w:left="895" w:right="647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市级以上产业园区</w:t>
      </w:r>
      <w:r>
        <w:rPr>
          <w:rFonts w:ascii="仿宋" w:hAnsi="仿宋" w:eastAsia="仿宋" w:cs="仿宋"/>
          <w:spacing w:val="2"/>
          <w:sz w:val="32"/>
          <w:szCs w:val="32"/>
        </w:rPr>
        <w:t>、符合园区规划环评和环评告知承诺</w:t>
      </w:r>
      <w:r>
        <w:rPr>
          <w:rFonts w:ascii="仿宋" w:hAnsi="仿宋" w:eastAsia="仿宋" w:cs="仿宋"/>
          <w:spacing w:val="-16"/>
          <w:sz w:val="32"/>
          <w:szCs w:val="32"/>
        </w:rPr>
        <w:t>制审</w:t>
      </w:r>
      <w:r>
        <w:rPr>
          <w:rFonts w:ascii="仿宋" w:hAnsi="仿宋" w:eastAsia="仿宋" w:cs="仿宋"/>
          <w:spacing w:val="-9"/>
          <w:sz w:val="32"/>
          <w:szCs w:val="32"/>
        </w:rPr>
        <w:t>批</w:t>
      </w:r>
      <w:r>
        <w:rPr>
          <w:rFonts w:ascii="仿宋" w:hAnsi="仿宋" w:eastAsia="仿宋" w:cs="仿宋"/>
          <w:spacing w:val="-8"/>
          <w:sz w:val="32"/>
          <w:szCs w:val="32"/>
        </w:rPr>
        <w:t>正面清单的建设项目，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临港经济区、商务中心区不涉及环境敏感区且符合</w:t>
      </w:r>
      <w:r>
        <w:rPr>
          <w:rFonts w:ascii="仿宋" w:hAnsi="仿宋" w:eastAsia="仿宋" w:cs="仿宋"/>
          <w:spacing w:val="2"/>
          <w:sz w:val="32"/>
          <w:szCs w:val="32"/>
        </w:rPr>
        <w:t>环评告知承诺</w:t>
      </w:r>
      <w:r>
        <w:rPr>
          <w:rFonts w:ascii="仿宋" w:hAnsi="仿宋" w:eastAsia="仿宋" w:cs="仿宋"/>
          <w:spacing w:val="-16"/>
          <w:sz w:val="32"/>
          <w:szCs w:val="32"/>
        </w:rPr>
        <w:t>制审</w:t>
      </w:r>
      <w:r>
        <w:rPr>
          <w:rFonts w:ascii="仿宋" w:hAnsi="仿宋" w:eastAsia="仿宋" w:cs="仿宋"/>
          <w:spacing w:val="-9"/>
          <w:sz w:val="32"/>
          <w:szCs w:val="32"/>
        </w:rPr>
        <w:t>批</w:t>
      </w:r>
      <w:r>
        <w:rPr>
          <w:rFonts w:ascii="仿宋" w:hAnsi="仿宋" w:eastAsia="仿宋" w:cs="仿宋"/>
          <w:spacing w:val="-8"/>
          <w:sz w:val="32"/>
          <w:szCs w:val="32"/>
        </w:rPr>
        <w:t>正面清单的建设项目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8"/>
          <w:sz w:val="32"/>
          <w:szCs w:val="32"/>
        </w:rPr>
        <w:t>适用“区域评估+告知承诺制”。</w:t>
      </w:r>
    </w:p>
    <w:p>
      <w:pPr>
        <w:spacing w:before="1" w:line="221" w:lineRule="auto"/>
        <w:ind w:left="152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黑体" w:hAnsi="黑体" w:eastAsia="黑体" w:cs="黑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黑体" w:hAnsi="黑体" w:eastAsia="黑体" w:cs="黑体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相关依据</w:t>
      </w:r>
    </w:p>
    <w:p>
      <w:pPr>
        <w:spacing w:before="217" w:line="346" w:lineRule="auto"/>
        <w:ind w:left="895" w:right="640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(一)《河南省工程建设项目审批制度改革领导小组办公</w:t>
      </w:r>
      <w:r>
        <w:rPr>
          <w:rFonts w:ascii="仿宋" w:hAnsi="仿宋" w:eastAsia="仿宋" w:cs="仿宋"/>
          <w:spacing w:val="9"/>
          <w:sz w:val="32"/>
          <w:szCs w:val="32"/>
        </w:rPr>
        <w:t>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关于印发</w:t>
      </w:r>
      <w:r>
        <w:rPr>
          <w:rFonts w:ascii="仿宋" w:hAnsi="仿宋" w:eastAsia="仿宋" w:cs="仿宋"/>
          <w:spacing w:val="2"/>
          <w:sz w:val="32"/>
          <w:szCs w:val="32"/>
        </w:rPr>
        <w:t>河南省深化工程建设项目审批制度改革优化办理建筑许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可营商环境实</w:t>
      </w:r>
      <w:r>
        <w:rPr>
          <w:rFonts w:ascii="仿宋" w:hAnsi="仿宋" w:eastAsia="仿宋" w:cs="仿宋"/>
          <w:spacing w:val="-2"/>
          <w:sz w:val="32"/>
          <w:szCs w:val="32"/>
        </w:rPr>
        <w:t>施方案的通知》(豫工程改革办〔2021〕5号 ) ;</w:t>
      </w:r>
    </w:p>
    <w:p>
      <w:pPr>
        <w:spacing w:line="347" w:lineRule="auto"/>
        <w:ind w:left="1025" w:right="44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(二)《关于进一步加强工程建设项目区域评估工作的通知</w:t>
      </w:r>
      <w:r>
        <w:rPr>
          <w:rFonts w:ascii="仿宋" w:hAnsi="仿宋" w:eastAsia="仿宋" w:cs="仿宋"/>
          <w:sz w:val="32"/>
          <w:szCs w:val="32"/>
        </w:rPr>
        <w:t xml:space="preserve">》 </w:t>
      </w:r>
      <w:r>
        <w:rPr>
          <w:rFonts w:ascii="仿宋" w:hAnsi="仿宋" w:eastAsia="仿宋" w:cs="仿宋"/>
          <w:spacing w:val="-6"/>
          <w:sz w:val="32"/>
          <w:szCs w:val="32"/>
        </w:rPr>
        <w:t>(宛</w:t>
      </w:r>
      <w:r>
        <w:rPr>
          <w:rFonts w:ascii="仿宋" w:hAnsi="仿宋" w:eastAsia="仿宋" w:cs="仿宋"/>
          <w:spacing w:val="-3"/>
          <w:sz w:val="32"/>
          <w:szCs w:val="32"/>
        </w:rPr>
        <w:t>放办〔2021〕5号);</w:t>
      </w:r>
    </w:p>
    <w:p>
      <w:pPr>
        <w:spacing w:before="1" w:line="346" w:lineRule="auto"/>
        <w:ind w:left="895" w:right="611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(三</w:t>
      </w:r>
      <w:r>
        <w:rPr>
          <w:rFonts w:ascii="仿宋" w:hAnsi="仿宋" w:eastAsia="仿宋" w:cs="仿宋"/>
          <w:spacing w:val="10"/>
          <w:sz w:val="32"/>
          <w:szCs w:val="32"/>
        </w:rPr>
        <w:t>)</w:t>
      </w:r>
      <w:r>
        <w:rPr>
          <w:rFonts w:ascii="仿宋" w:hAnsi="仿宋" w:eastAsia="仿宋" w:cs="仿宋"/>
          <w:spacing w:val="9"/>
          <w:sz w:val="32"/>
          <w:szCs w:val="32"/>
        </w:rPr>
        <w:t>省厅文件《河南省生态环境厅办公室关于进一步优化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环评审</w:t>
      </w:r>
      <w:r>
        <w:rPr>
          <w:rFonts w:ascii="仿宋" w:hAnsi="仿宋" w:eastAsia="仿宋" w:cs="仿宋"/>
          <w:spacing w:val="-6"/>
          <w:sz w:val="32"/>
          <w:szCs w:val="32"/>
        </w:rPr>
        <w:t>批推进重大投资项目建设的通知》(豫环办〔2022〕44 号);</w:t>
      </w:r>
    </w:p>
    <w:p>
      <w:pPr>
        <w:spacing w:before="1" w:line="346" w:lineRule="auto"/>
        <w:ind w:left="895" w:right="645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(四)《南阳市生态环境局关于推动优化营商环境举措落</w:t>
      </w:r>
      <w:r>
        <w:rPr>
          <w:rFonts w:ascii="仿宋" w:hAnsi="仿宋" w:eastAsia="仿宋" w:cs="仿宋"/>
          <w:spacing w:val="4"/>
          <w:sz w:val="32"/>
          <w:szCs w:val="32"/>
        </w:rPr>
        <w:t>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见</w:t>
      </w:r>
      <w:r>
        <w:rPr>
          <w:rFonts w:ascii="仿宋" w:hAnsi="仿宋" w:eastAsia="仿宋" w:cs="仿宋"/>
          <w:spacing w:val="1"/>
          <w:sz w:val="32"/>
          <w:szCs w:val="32"/>
        </w:rPr>
        <w:t>效的通知》;</w:t>
      </w:r>
    </w:p>
    <w:p>
      <w:pPr>
        <w:spacing w:line="222" w:lineRule="auto"/>
        <w:ind w:left="1665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(</w:t>
      </w:r>
      <w:r>
        <w:rPr>
          <w:rFonts w:ascii="仿宋" w:hAnsi="仿宋" w:eastAsia="仿宋" w:cs="仿宋"/>
          <w:spacing w:val="12"/>
          <w:sz w:val="32"/>
          <w:szCs w:val="32"/>
        </w:rPr>
        <w:t>五)</w:t>
      </w:r>
      <w:r>
        <w:rPr>
          <w:rFonts w:ascii="仿宋" w:hAnsi="仿宋" w:eastAsia="仿宋" w:cs="仿宋"/>
          <w:color w:val="auto"/>
          <w:spacing w:val="12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eastAsia="zh-CN"/>
        </w:rPr>
        <w:t>产业园区</w:t>
      </w:r>
      <w:r>
        <w:rPr>
          <w:rFonts w:ascii="仿宋" w:hAnsi="仿宋" w:eastAsia="仿宋" w:cs="仿宋"/>
          <w:color w:val="auto"/>
          <w:spacing w:val="12"/>
          <w:sz w:val="32"/>
          <w:szCs w:val="32"/>
        </w:rPr>
        <w:t>规划环评报告;</w:t>
      </w:r>
    </w:p>
    <w:p>
      <w:pPr>
        <w:spacing w:before="209" w:line="347" w:lineRule="auto"/>
        <w:ind w:left="895" w:right="640" w:firstLine="769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ascii="仿宋" w:hAnsi="仿宋" w:eastAsia="仿宋" w:cs="仿宋"/>
          <w:color w:val="auto"/>
          <w:spacing w:val="10"/>
          <w:sz w:val="32"/>
          <w:szCs w:val="32"/>
        </w:rPr>
        <w:t>(六)</w:t>
      </w:r>
      <w:r>
        <w:rPr>
          <w:rFonts w:ascii="仿宋" w:hAnsi="仿宋" w:eastAsia="仿宋" w:cs="仿宋"/>
          <w:color w:val="auto"/>
          <w:spacing w:val="12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eastAsia="zh-CN"/>
        </w:rPr>
        <w:t>产业园区</w:t>
      </w:r>
      <w:r>
        <w:rPr>
          <w:rFonts w:ascii="仿宋" w:hAnsi="仿宋" w:eastAsia="仿宋" w:cs="仿宋"/>
          <w:spacing w:val="10"/>
          <w:sz w:val="32"/>
          <w:szCs w:val="32"/>
        </w:rPr>
        <w:t>划定的区域评估范围内的工程建设项目</w:t>
      </w:r>
      <w:r>
        <w:rPr>
          <w:rFonts w:ascii="仿宋" w:hAnsi="仿宋" w:eastAsia="仿宋" w:cs="仿宋"/>
          <w:spacing w:val="9"/>
          <w:sz w:val="32"/>
          <w:szCs w:val="32"/>
        </w:rPr>
        <w:t>环</w:t>
      </w:r>
      <w:r>
        <w:rPr>
          <w:rFonts w:ascii="仿宋" w:hAnsi="仿宋" w:eastAsia="仿宋" w:cs="仿宋"/>
          <w:spacing w:val="-6"/>
          <w:sz w:val="32"/>
          <w:szCs w:val="32"/>
        </w:rPr>
        <w:t>境评</w:t>
      </w:r>
      <w:r>
        <w:rPr>
          <w:rFonts w:ascii="仿宋" w:hAnsi="仿宋" w:eastAsia="仿宋" w:cs="仿宋"/>
          <w:spacing w:val="-4"/>
          <w:sz w:val="32"/>
          <w:szCs w:val="32"/>
        </w:rPr>
        <w:t>价</w:t>
      </w:r>
      <w:r>
        <w:rPr>
          <w:rFonts w:ascii="仿宋" w:hAnsi="仿宋" w:eastAsia="仿宋" w:cs="仿宋"/>
          <w:spacing w:val="-3"/>
          <w:sz w:val="32"/>
          <w:szCs w:val="32"/>
        </w:rPr>
        <w:t>区域评估报告。</w:t>
      </w:r>
      <w:bookmarkStart w:id="0" w:name="_GoBack"/>
      <w:bookmarkEnd w:id="0"/>
    </w:p>
    <w:p>
      <w:pPr>
        <w:spacing w:line="223" w:lineRule="auto"/>
        <w:ind w:left="664" w:firstLine="624" w:firstLineChars="200"/>
        <w:outlineLvl w:val="0"/>
        <w:rPr>
          <w:rFonts w:hint="eastAsia" w:ascii="黑体" w:hAnsi="黑体" w:eastAsia="黑体" w:cs="黑体"/>
          <w:spacing w:val="-4"/>
          <w:sz w:val="32"/>
          <w:szCs w:val="32"/>
          <w:lang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9"/>
          <w:sz w:val="33"/>
          <w:szCs w:val="33"/>
          <w:lang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、成果应用</w:t>
      </w:r>
    </w:p>
    <w:p>
      <w:pPr>
        <w:spacing w:before="108" w:line="336" w:lineRule="auto"/>
        <w:ind w:left="840" w:leftChars="400" w:right="34" w:firstLine="793" w:firstLineChars="261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2"/>
          <w:szCs w:val="32"/>
        </w:rPr>
        <w:t>工程建设</w:t>
      </w:r>
      <w:r>
        <w:rPr>
          <w:rFonts w:ascii="仿宋" w:hAnsi="仿宋" w:eastAsia="仿宋" w:cs="仿宋"/>
          <w:spacing w:val="-6"/>
          <w:sz w:val="32"/>
          <w:szCs w:val="32"/>
        </w:rPr>
        <w:t>项</w:t>
      </w:r>
      <w:r>
        <w:rPr>
          <w:rFonts w:ascii="仿宋" w:hAnsi="仿宋" w:eastAsia="仿宋" w:cs="仿宋"/>
          <w:spacing w:val="-4"/>
          <w:sz w:val="32"/>
          <w:szCs w:val="32"/>
        </w:rPr>
        <w:t>目环境评价评估事项实行“开发区政府提供服务，</w:t>
      </w:r>
      <w:r>
        <w:rPr>
          <w:rFonts w:ascii="仿宋" w:hAnsi="仿宋" w:eastAsia="仿宋" w:cs="仿宋"/>
          <w:spacing w:val="-14"/>
          <w:sz w:val="33"/>
          <w:szCs w:val="33"/>
        </w:rPr>
        <w:t>项</w:t>
      </w:r>
      <w:r>
        <w:rPr>
          <w:rFonts w:ascii="仿宋" w:hAnsi="仿宋" w:eastAsia="仿宋" w:cs="仿宋"/>
          <w:spacing w:val="-11"/>
          <w:sz w:val="33"/>
          <w:szCs w:val="33"/>
        </w:rPr>
        <w:t>目</w:t>
      </w:r>
      <w:r>
        <w:rPr>
          <w:rFonts w:ascii="仿宋" w:hAnsi="仿宋" w:eastAsia="仿宋" w:cs="仿宋"/>
          <w:spacing w:val="-7"/>
          <w:sz w:val="33"/>
          <w:szCs w:val="33"/>
        </w:rPr>
        <w:t>单位无偿享用”的方式实施，开展区域评估、规划环评和项</w:t>
      </w:r>
      <w:r>
        <w:rPr>
          <w:rFonts w:ascii="仿宋" w:hAnsi="仿宋" w:eastAsia="仿宋" w:cs="仿宋"/>
          <w:spacing w:val="-11"/>
          <w:sz w:val="33"/>
          <w:szCs w:val="33"/>
        </w:rPr>
        <w:t>目</w:t>
      </w:r>
      <w:r>
        <w:rPr>
          <w:rFonts w:ascii="仿宋" w:hAnsi="仿宋" w:eastAsia="仿宋" w:cs="仿宋"/>
          <w:spacing w:val="-8"/>
          <w:sz w:val="33"/>
          <w:szCs w:val="33"/>
        </w:rPr>
        <w:t>环评联动，环评文件可直接引用其评估结果，共享区域环境质</w:t>
      </w:r>
      <w:r>
        <w:rPr>
          <w:rFonts w:ascii="仿宋" w:hAnsi="仿宋" w:eastAsia="仿宋" w:cs="仿宋"/>
          <w:spacing w:val="-14"/>
          <w:sz w:val="33"/>
          <w:szCs w:val="33"/>
        </w:rPr>
        <w:t>量</w:t>
      </w:r>
      <w:r>
        <w:rPr>
          <w:rFonts w:ascii="仿宋" w:hAnsi="仿宋" w:eastAsia="仿宋" w:cs="仿宋"/>
          <w:spacing w:val="-10"/>
          <w:sz w:val="33"/>
          <w:szCs w:val="33"/>
        </w:rPr>
        <w:t>、</w:t>
      </w:r>
      <w:r>
        <w:rPr>
          <w:rFonts w:ascii="仿宋" w:hAnsi="仿宋" w:eastAsia="仿宋" w:cs="仿宋"/>
          <w:spacing w:val="-7"/>
          <w:sz w:val="33"/>
          <w:szCs w:val="33"/>
        </w:rPr>
        <w:t>监测数据、污染源调查等现状材料，简化文件内容。建设项</w:t>
      </w:r>
      <w:r>
        <w:rPr>
          <w:rFonts w:ascii="仿宋" w:hAnsi="仿宋" w:eastAsia="仿宋" w:cs="仿宋"/>
          <w:spacing w:val="-16"/>
          <w:sz w:val="33"/>
          <w:szCs w:val="33"/>
        </w:rPr>
        <w:t>目</w:t>
      </w:r>
      <w:r>
        <w:rPr>
          <w:rFonts w:ascii="仿宋" w:hAnsi="仿宋" w:eastAsia="仿宋" w:cs="仿宋"/>
          <w:spacing w:val="-15"/>
          <w:sz w:val="33"/>
          <w:szCs w:val="33"/>
        </w:rPr>
        <w:t>在</w:t>
      </w:r>
      <w:r>
        <w:rPr>
          <w:rFonts w:ascii="仿宋" w:hAnsi="仿宋" w:eastAsia="仿宋" w:cs="仿宋"/>
          <w:spacing w:val="-8"/>
          <w:sz w:val="33"/>
          <w:szCs w:val="33"/>
        </w:rPr>
        <w:t>划定的区域评估范围内的，按照《南阳市生态环境局关于推</w:t>
      </w:r>
      <w:r>
        <w:rPr>
          <w:rFonts w:ascii="仿宋" w:hAnsi="仿宋" w:eastAsia="仿宋" w:cs="仿宋"/>
          <w:spacing w:val="-14"/>
          <w:sz w:val="33"/>
          <w:szCs w:val="33"/>
        </w:rPr>
        <w:t>动</w:t>
      </w:r>
      <w:r>
        <w:rPr>
          <w:rFonts w:ascii="仿宋" w:hAnsi="仿宋" w:eastAsia="仿宋" w:cs="仿宋"/>
          <w:spacing w:val="-13"/>
          <w:sz w:val="33"/>
          <w:szCs w:val="33"/>
        </w:rPr>
        <w:t>优</w:t>
      </w:r>
      <w:r>
        <w:rPr>
          <w:rFonts w:ascii="仿宋" w:hAnsi="仿宋" w:eastAsia="仿宋" w:cs="仿宋"/>
          <w:spacing w:val="-7"/>
          <w:sz w:val="33"/>
          <w:szCs w:val="33"/>
        </w:rPr>
        <w:t>化营商环境举措落地见效的通知》实行建设项目环境影响评</w:t>
      </w:r>
      <w:r>
        <w:rPr>
          <w:rFonts w:ascii="仿宋" w:hAnsi="仿宋" w:eastAsia="仿宋" w:cs="仿宋"/>
          <w:spacing w:val="-6"/>
          <w:sz w:val="33"/>
          <w:szCs w:val="33"/>
        </w:rPr>
        <w:t>价告知承诺制，建设单位的环境影响报告表不再进行技术评估</w:t>
      </w:r>
      <w:r>
        <w:rPr>
          <w:rFonts w:ascii="仿宋" w:hAnsi="仿宋" w:eastAsia="仿宋" w:cs="仿宋"/>
          <w:spacing w:val="-3"/>
          <w:sz w:val="33"/>
          <w:szCs w:val="33"/>
        </w:rPr>
        <w:t>和</w:t>
      </w:r>
      <w:r>
        <w:rPr>
          <w:rFonts w:ascii="仿宋" w:hAnsi="仿宋" w:eastAsia="仿宋" w:cs="仿宋"/>
          <w:spacing w:val="-12"/>
          <w:sz w:val="33"/>
          <w:szCs w:val="33"/>
        </w:rPr>
        <w:t>审</w:t>
      </w:r>
      <w:r>
        <w:rPr>
          <w:rFonts w:ascii="仿宋" w:hAnsi="仿宋" w:eastAsia="仿宋" w:cs="仿宋"/>
          <w:spacing w:val="-8"/>
          <w:sz w:val="33"/>
          <w:szCs w:val="33"/>
        </w:rPr>
        <w:t>查</w:t>
      </w:r>
      <w:r>
        <w:rPr>
          <w:rFonts w:ascii="仿宋" w:hAnsi="仿宋" w:eastAsia="仿宋" w:cs="仿宋"/>
          <w:spacing w:val="-6"/>
          <w:sz w:val="33"/>
          <w:szCs w:val="33"/>
        </w:rPr>
        <w:t>，承诺后即批复。项目建设单位填写告知承诺制审批申请及</w:t>
      </w:r>
      <w:r>
        <w:rPr>
          <w:rFonts w:ascii="仿宋" w:hAnsi="仿宋" w:eastAsia="仿宋" w:cs="仿宋"/>
          <w:spacing w:val="-22"/>
          <w:sz w:val="33"/>
          <w:szCs w:val="33"/>
        </w:rPr>
        <w:t>承</w:t>
      </w:r>
      <w:r>
        <w:rPr>
          <w:rFonts w:ascii="仿宋" w:hAnsi="仿宋" w:eastAsia="仿宋" w:cs="仿宋"/>
          <w:spacing w:val="-12"/>
          <w:sz w:val="33"/>
          <w:szCs w:val="33"/>
        </w:rPr>
        <w:t>诺书由具有审批权的生态环境主管部门批复。</w:t>
      </w:r>
    </w:p>
    <w:p>
      <w:pPr>
        <w:spacing w:line="223" w:lineRule="auto"/>
        <w:ind w:left="664" w:firstLine="624" w:firstLineChars="200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黑体" w:hAnsi="黑体" w:eastAsia="黑体" w:cs="黑体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、管理部门</w:t>
      </w:r>
    </w:p>
    <w:p>
      <w:pPr>
        <w:spacing w:before="209" w:line="221" w:lineRule="auto"/>
        <w:ind w:firstLine="1992" w:firstLineChars="60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1"/>
          <w:sz w:val="33"/>
          <w:szCs w:val="33"/>
          <w:lang w:eastAsia="zh-CN"/>
        </w:rPr>
        <w:t>南阳市生态环境局唐河分局</w:t>
      </w:r>
      <w:r>
        <w:rPr>
          <w:rFonts w:ascii="仿宋" w:hAnsi="仿宋" w:eastAsia="仿宋" w:cs="仿宋"/>
          <w:sz w:val="33"/>
          <w:szCs w:val="33"/>
        </w:rPr>
        <w:t>。</w:t>
      </w:r>
    </w:p>
    <w:p>
      <w:pPr>
        <w:spacing w:before="233" w:line="220" w:lineRule="auto"/>
        <w:ind w:left="1525"/>
        <w:rPr>
          <w:rFonts w:ascii="仿宋" w:hAnsi="仿宋" w:eastAsia="仿宋" w:cs="仿宋"/>
          <w:sz w:val="32"/>
          <w:szCs w:val="32"/>
        </w:rPr>
      </w:pPr>
    </w:p>
    <w:p>
      <w:pPr>
        <w:sectPr>
          <w:pgSz w:w="11910" w:h="16850"/>
          <w:pgMar w:top="1432" w:right="769" w:bottom="1174" w:left="574" w:header="0" w:footer="805" w:gutter="0"/>
          <w:cols w:space="720" w:num="1"/>
        </w:sectPr>
      </w:pPr>
    </w:p>
    <w:p>
      <w:pPr>
        <w:spacing w:line="4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0" w:lineRule="exact"/>
        <w:textAlignment w:val="center"/>
      </w:pPr>
    </w:p>
    <w:p>
      <w:pPr>
        <w:spacing w:before="22" w:line="20" w:lineRule="exact"/>
        <w:textAlignment w:val="center"/>
      </w:pPr>
    </w:p>
    <w:sectPr>
      <w:footerReference r:id="rId5" w:type="default"/>
      <w:pgSz w:w="11910" w:h="16850"/>
      <w:pgMar w:top="1432" w:right="1299" w:bottom="1158" w:left="1480" w:header="0" w:footer="7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19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sz w:val="29"/>
        <w:szCs w:val="29"/>
      </w:rPr>
      <w:t>-24-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4MzQ4M2U4YjJjNGYwNGNkODJmYTFlZmExNWFjNzgifQ=="/>
  </w:docVars>
  <w:rsids>
    <w:rsidRoot w:val="00000000"/>
    <w:rsid w:val="227A3B89"/>
    <w:rsid w:val="273A5A68"/>
    <w:rsid w:val="284456F6"/>
    <w:rsid w:val="2D4D14E3"/>
    <w:rsid w:val="312E2757"/>
    <w:rsid w:val="3B3F4BF7"/>
    <w:rsid w:val="5C880004"/>
    <w:rsid w:val="61E5667C"/>
    <w:rsid w:val="6DFB5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675</Words>
  <Characters>687</Characters>
  <TotalTime>1</TotalTime>
  <ScaleCrop>false</ScaleCrop>
  <LinksUpToDate>false</LinksUpToDate>
  <CharactersWithSpaces>695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2022-09-07T16:56:00Z</dcterms:created>
  <dc:creator>Kingsoft-PDF</dc:creator>
  <cp:keywords>63185cbc3ff9110015a3e32d</cp:keywords>
  <cp:lastModifiedBy>未定义</cp:lastModifiedBy>
  <cp:lastPrinted>2022-09-07T09:01:00Z</cp:lastPrinted>
  <dcterms:modified xsi:type="dcterms:W3CDTF">2022-09-08T03:12:15Z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2022-09-07T16:56:41Z</vt:filetime>
  </property>
  <property fmtid="{D5CDD505-2E9C-101B-9397-08002B2CF9AE}" pid="4" name="KSOProductBuildVer">
    <vt:lpwstr>2052-11.1.0.12358</vt:lpwstr>
  </property>
  <property fmtid="{D5CDD505-2E9C-101B-9397-08002B2CF9AE}" pid="5" name="ICV">
    <vt:lpwstr>EBB34AED32FA499980292DDE1E0F5B88</vt:lpwstr>
  </property>
</Properties>
</file>