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拟审批的建设项目环境影响表</w:t>
      </w:r>
    </w:p>
    <w:tbl>
      <w:tblPr>
        <w:tblStyle w:val="5"/>
        <w:tblpPr w:leftFromText="180" w:rightFromText="180" w:vertAnchor="page" w:horzAnchor="page" w:tblpXSpec="center" w:tblpY="2703"/>
        <w:tblOverlap w:val="never"/>
        <w:tblW w:w="15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91"/>
        <w:gridCol w:w="1060"/>
        <w:gridCol w:w="780"/>
        <w:gridCol w:w="1215"/>
        <w:gridCol w:w="2285"/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建设地点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建设单位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环境影响评价机构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建设项目概况</w:t>
            </w:r>
          </w:p>
        </w:tc>
        <w:tc>
          <w:tcPr>
            <w:tcW w:w="88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河南澳峻商贸有限公司年产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eastAsia="zh-CN"/>
              </w:rPr>
              <w:t>10000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吨结构件建设项目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南阳市唐河县大河屯镇李湾村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河南澳峻商贸有限公司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洛阳焦点环保科技有限公司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建设内容：</w:t>
            </w:r>
            <w:r>
              <w:rPr>
                <w:rFonts w:hint="default" w:ascii="Times New Roman" w:hAnsi="Times New Roman" w:cs="Times New Roman"/>
              </w:rPr>
              <w:t>本项目总投资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3500</w:t>
            </w:r>
            <w:r>
              <w:rPr>
                <w:rFonts w:hint="default" w:ascii="Times New Roman" w:hAnsi="Times New Roman" w:cs="Times New Roman"/>
              </w:rPr>
              <w:t>万元，占地面积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41706.88</w:t>
            </w:r>
            <w:r>
              <w:rPr>
                <w:rFonts w:hint="default" w:ascii="Times New Roman" w:hAnsi="Times New Roman" w:cs="Times New Roman"/>
              </w:rPr>
              <w:t>m</w:t>
            </w:r>
            <w:r>
              <w:rPr>
                <w:rFonts w:hint="default" w:ascii="Times New Roman" w:hAnsi="Times New Roman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</w:rPr>
              <w:t>，本项目主要主体工程：生产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车</w:t>
            </w:r>
            <w:r>
              <w:rPr>
                <w:rFonts w:hint="default" w:ascii="Times New Roman" w:hAnsi="Times New Roman" w:cs="Times New Roman"/>
              </w:rPr>
              <w:t>间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1F钢结构厂房，占地面积15840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4号车间（1F钢结构厂房，占地面积1650m</w:t>
            </w:r>
            <w:r>
              <w:rPr>
                <w:rFonts w:hint="eastAsia" w:ascii="Times New Roman" w:hAnsi="Times New Roman" w:cs="Times New Roman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；辅助工程：办公楼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3F砖混结构，占地面积576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员工休息室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4F砖混结构，占地面积378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</w:rPr>
              <w:t>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主要设备：焊机、组立机、抛丸机、喷漆房等。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建设规模：年产10000吨结构件</w:t>
            </w:r>
          </w:p>
        </w:tc>
        <w:tc>
          <w:tcPr>
            <w:tcW w:w="8833" w:type="dxa"/>
            <w:vAlign w:val="center"/>
          </w:tcPr>
          <w:p>
            <w:pPr>
              <w:spacing w:line="360" w:lineRule="auto"/>
              <w:ind w:firstLine="422" w:firstLineChars="2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大气环境污染防措施：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下料切割工序产生的粉尘：生产车间全密闭，在切割区设置4台双臂移动式焊烟净化器，切割烟尘经移动式焊烟净化器处理，尾气车间无组织排放；焊接工序产生的烟尘：在每个。常焊接点位区域各配备一台移动式焊烟净化器（共35台），焊接烟尘经净化后在车间内无组织排放；打磨工序产生的粉尘：抛丸车间二次密闭，产生的废气经钢丸回收装置处理后再通过一套袋式除尘器处理后经1根15米高排气筒（DA001）排放；喷漆工序产生的废气：喷漆间二次密闭，调漆、喷漆、晾干工序均在喷漆间内进行；产生的废气采用“干式漆雾箱+活性炭吸附浓缩+RCO催化燃烧”处理，废气经处理后通过一根15米高排气筒（DA002）排放；食堂油烟：灶头上方设置集气罩，油烟通过小型油烟净化器处理后经过一根高于所在建筑物1m的排气筒（DA003）排放；无组织废气：生产车间全密闭，厂区及车间定期清扫、洒水降尘等。</w:t>
            </w:r>
          </w:p>
          <w:p>
            <w:pPr>
              <w:spacing w:line="360" w:lineRule="auto"/>
              <w:ind w:firstLine="422" w:firstLineChars="2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废水污染防治措施：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职工生活污水：经隔油池（5m</w:t>
            </w:r>
            <w:r>
              <w:rPr>
                <w:rFonts w:hint="default" w:ascii="Times New Roman" w:hAnsi="Times New Roman" w:cs="Times New Roman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lang w:eastAsia="zh-CN"/>
              </w:rPr>
              <w:t>）处理后的食堂废水同其他生活污水一起经化粪池（50m</w:t>
            </w:r>
            <w:r>
              <w:rPr>
                <w:rFonts w:hint="default" w:ascii="Times New Roman" w:hAnsi="Times New Roman" w:cs="Times New Roman"/>
                <w:vertAlign w:val="superscript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lang w:eastAsia="zh-CN"/>
              </w:rPr>
              <w:t>）处理后，用于周边农田施肥，综合利用不外排。</w:t>
            </w:r>
          </w:p>
          <w:p>
            <w:pPr>
              <w:spacing w:line="360" w:lineRule="auto"/>
              <w:ind w:firstLine="422" w:firstLineChars="2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固体废物污染防治措施：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职工生活垃圾：厂区内设置生活垃圾收集桶，委托环卫部门定期清运处理；化粪池污泥：定期清掏用于周边农田施肥；废包装袋：收集后暂存固废暂存区（100m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），定期外售；废边角料：收集后暂存固废暂存区（100m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），定期外售；除尘器收集的粉尘：定期清理后交由环卫部门处置；废焊渣：收集后装袋暂存固废暂存区，定期外售；雨水沉淀池沉渣：收集后外运用于修路；废催化剂：更换后由厂家直接回收进行再生利用；废活性炭、废油漆、固化剂、稀释剂包装桶、废漆渣：设置危废暂存间一座（100m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），危废收集后分类暂存于危废暂存间，定期交由有资质单位处置。</w:t>
            </w:r>
          </w:p>
          <w:p>
            <w:pPr>
              <w:spacing w:line="360" w:lineRule="auto"/>
              <w:ind w:firstLine="422" w:firstLineChars="200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4、危险废物污染防治措施：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废活性炭、废油漆、固化剂、稀释剂包装桶、废漆渣：设置危废暂存间一座（100m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），危废收集后分类暂存于危废暂存间，定期交由有资质单位处置。</w:t>
            </w:r>
          </w:p>
          <w:p>
            <w:pPr>
              <w:spacing w:line="360" w:lineRule="auto"/>
              <w:ind w:firstLine="422" w:firstLineChars="2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5、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噪声污染防治措施：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选用低噪设备、车间隔声、设备基础减振，加强设备的维护和保养。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1" w:type="dxa"/>
            <w:vAlign w:val="top"/>
          </w:tcPr>
          <w:p>
            <w:pPr>
              <w:adjustRightInd/>
              <w:snapToGrid/>
              <w:spacing w:after="0" w:afterLines="0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集中处理祁仪镇废旧矿区石料年产100万吨机制砂、50万吨石子项目</w:t>
            </w:r>
          </w:p>
        </w:tc>
        <w:tc>
          <w:tcPr>
            <w:tcW w:w="1060" w:type="dxa"/>
            <w:vAlign w:val="top"/>
          </w:tcPr>
          <w:p>
            <w:pPr>
              <w:adjustRightInd/>
              <w:snapToGrid/>
              <w:spacing w:after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南阳市唐河县祁仪镇乡村振兴产业园</w:t>
            </w:r>
          </w:p>
        </w:tc>
        <w:tc>
          <w:tcPr>
            <w:tcW w:w="780" w:type="dxa"/>
            <w:vAlign w:val="top"/>
          </w:tcPr>
          <w:p>
            <w:pPr>
              <w:adjustRightInd/>
              <w:snapToGrid/>
              <w:spacing w:after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唐河县鑫垚矿产资源开发有限公司</w:t>
            </w:r>
          </w:p>
        </w:tc>
        <w:tc>
          <w:tcPr>
            <w:tcW w:w="1215" w:type="dxa"/>
            <w:vAlign w:val="top"/>
          </w:tcPr>
          <w:p>
            <w:pPr>
              <w:adjustRightInd/>
              <w:snapToGrid/>
              <w:spacing w:after="0" w:afterLines="0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省晨曌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环境科技有限公司</w:t>
            </w:r>
          </w:p>
        </w:tc>
        <w:tc>
          <w:tcPr>
            <w:tcW w:w="2285" w:type="dxa"/>
            <w:vAlign w:val="top"/>
          </w:tcPr>
          <w:p>
            <w:pPr>
              <w:adjustRightInd/>
              <w:snapToGrid/>
              <w:spacing w:after="0" w:afterLine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唐河县鑫垚矿产资源开发有限公司拟投资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2300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万元，在南阳市唐河县祁仪镇乡村振兴产业园建设年产100万吨机制砂、50万吨石子项目，项目新建厂房进行生产，项目占地面积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13334平方米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，厂房建筑面积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2000平方米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adjustRightInd/>
              <w:snapToGrid/>
              <w:spacing w:after="0" w:afterLines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大气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环境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上料、鄂破、圆锥破、筛分粉尘设置集气罩，经袋式除尘器处理后15m排气筒排放。对周围大气环境影响较小。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2、水环境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车辆冲洗水设置沉淀池，循环利用不外排；洗砂废水设置絮凝罐，循环利用不外排；生活污水经化粪池处理后清理肥田；初期雨水收集到沉淀池，用于厂区绿化用水等；厂房喷淋废水全部蒸发，不外排。对水体影响较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Chars="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3、声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主要为破碎机和筛分机等设备噪声，采取基础减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振和厂房隔声等措施后，对周围声环境影响较小。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4、固体废物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Chars="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除尘器粉尘收集后外售；车辆冲洗废水沉淀池沉渣压滤后外售；洗砂废水污泥压滤后外售；化粪池污泥清理肥田；生活垃圾收集到垃圾桶，由环卫部门清理。项目固废对周围环境影响较小。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pacing w:line="36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MzQ4M2U4YjJjNGYwNGNkODJmYTFlZmExNWFjNzgifQ=="/>
  </w:docVars>
  <w:rsids>
    <w:rsidRoot w:val="7FBF9B5E"/>
    <w:rsid w:val="002952C2"/>
    <w:rsid w:val="003528BC"/>
    <w:rsid w:val="00434D0C"/>
    <w:rsid w:val="00450671"/>
    <w:rsid w:val="0076562A"/>
    <w:rsid w:val="008026E4"/>
    <w:rsid w:val="01084C87"/>
    <w:rsid w:val="03A06E71"/>
    <w:rsid w:val="03B3248D"/>
    <w:rsid w:val="04E35311"/>
    <w:rsid w:val="05342F5F"/>
    <w:rsid w:val="06FD1E9C"/>
    <w:rsid w:val="078A2460"/>
    <w:rsid w:val="0F5355BA"/>
    <w:rsid w:val="13D30EA3"/>
    <w:rsid w:val="188F157E"/>
    <w:rsid w:val="1EBA33C0"/>
    <w:rsid w:val="1F670BA4"/>
    <w:rsid w:val="23726264"/>
    <w:rsid w:val="24806232"/>
    <w:rsid w:val="28CF7788"/>
    <w:rsid w:val="29510D8C"/>
    <w:rsid w:val="30194948"/>
    <w:rsid w:val="3B625189"/>
    <w:rsid w:val="3BAB59B5"/>
    <w:rsid w:val="3BD02398"/>
    <w:rsid w:val="42925A6F"/>
    <w:rsid w:val="439373CB"/>
    <w:rsid w:val="46214E3C"/>
    <w:rsid w:val="4C2832E3"/>
    <w:rsid w:val="4DEB0920"/>
    <w:rsid w:val="5B922527"/>
    <w:rsid w:val="5F9D8F65"/>
    <w:rsid w:val="60465233"/>
    <w:rsid w:val="61D7566A"/>
    <w:rsid w:val="630447A2"/>
    <w:rsid w:val="64A82DBC"/>
    <w:rsid w:val="67FF69D3"/>
    <w:rsid w:val="6B1C65C3"/>
    <w:rsid w:val="6D872AD5"/>
    <w:rsid w:val="6ED617D9"/>
    <w:rsid w:val="701366BE"/>
    <w:rsid w:val="71180391"/>
    <w:rsid w:val="733C23B9"/>
    <w:rsid w:val="740441DD"/>
    <w:rsid w:val="762E131F"/>
    <w:rsid w:val="78B66E06"/>
    <w:rsid w:val="793F677F"/>
    <w:rsid w:val="7CAC6905"/>
    <w:rsid w:val="7CDD764F"/>
    <w:rsid w:val="7E0230E5"/>
    <w:rsid w:val="7E7ED664"/>
    <w:rsid w:val="7F0B72E5"/>
    <w:rsid w:val="7F607CF6"/>
    <w:rsid w:val="7FBF9B5E"/>
    <w:rsid w:val="FFFD9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1230"/>
      </w:tabs>
      <w:spacing w:before="240" w:after="120"/>
      <w:ind w:left="1230" w:hanging="1230"/>
      <w:jc w:val="center"/>
      <w:outlineLvl w:val="0"/>
    </w:pPr>
    <w:rPr>
      <w:rFonts w:eastAsia="黑体"/>
      <w:b/>
      <w:kern w:val="44"/>
      <w:sz w:val="4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1"/>
    <w:next w:val="1"/>
    <w:unhideWhenUsed/>
    <w:qFormat/>
    <w:uiPriority w:val="99"/>
    <w:pPr>
      <w:spacing w:before="100" w:beforeAutospacing="1" w:after="120"/>
      <w:ind w:left="420" w:leftChars="200" w:firstLine="420" w:firstLineChars="200"/>
    </w:pPr>
    <w:rPr>
      <w:rFonts w:ascii="Times New Roman" w:hAnsi="Times New Roman" w:cs="Times New Roma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2020-02-24T15:34:00Z</dcterms:created>
  <dc:creator>qinshidu</dc:creator>
  <cp:lastModifiedBy>未定义</cp:lastModifiedBy>
  <dcterms:modified xsi:type="dcterms:W3CDTF">2023-12-12T01:04:06Z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E8F84D19928D49B387EACB4678FFC4E6</vt:lpwstr>
  </property>
</Properties>
</file>