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92" w:rsidRPr="00416F2B" w:rsidRDefault="00825907">
      <w:pPr>
        <w:jc w:val="center"/>
        <w:rPr>
          <w:rFonts w:ascii="Times New Roman" w:eastAsia="宋体" w:hAnsi="Times New Roman" w:cs="Times New Roman"/>
          <w:sz w:val="30"/>
          <w:szCs w:val="30"/>
        </w:rPr>
      </w:pPr>
      <w:r w:rsidRPr="00416F2B">
        <w:rPr>
          <w:rFonts w:ascii="Times New Roman" w:eastAsia="宋体" w:hAnsi="Times New Roman" w:cs="Times New Roman"/>
          <w:sz w:val="30"/>
          <w:szCs w:val="30"/>
        </w:rPr>
        <w:t>拟审批的建设项目环境影响报告表</w:t>
      </w:r>
    </w:p>
    <w:tbl>
      <w:tblPr>
        <w:tblStyle w:val="a8"/>
        <w:tblW w:w="14275" w:type="dxa"/>
        <w:tblLayout w:type="fixed"/>
        <w:tblLook w:val="04A0" w:firstRow="1" w:lastRow="0" w:firstColumn="1" w:lastColumn="0" w:noHBand="0" w:noVBand="1"/>
      </w:tblPr>
      <w:tblGrid>
        <w:gridCol w:w="470"/>
        <w:gridCol w:w="665"/>
        <w:gridCol w:w="675"/>
        <w:gridCol w:w="720"/>
        <w:gridCol w:w="1121"/>
        <w:gridCol w:w="1504"/>
        <w:gridCol w:w="9120"/>
      </w:tblGrid>
      <w:tr w:rsidR="004F6F92" w:rsidRPr="00416F2B">
        <w:tc>
          <w:tcPr>
            <w:tcW w:w="47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序号</w:t>
            </w:r>
          </w:p>
        </w:tc>
        <w:tc>
          <w:tcPr>
            <w:tcW w:w="665"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项目名称</w:t>
            </w:r>
          </w:p>
        </w:tc>
        <w:tc>
          <w:tcPr>
            <w:tcW w:w="675"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建设地点</w:t>
            </w:r>
          </w:p>
        </w:tc>
        <w:tc>
          <w:tcPr>
            <w:tcW w:w="72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建设单位</w:t>
            </w:r>
          </w:p>
        </w:tc>
        <w:tc>
          <w:tcPr>
            <w:tcW w:w="1121"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环境影响评价机构</w:t>
            </w:r>
          </w:p>
        </w:tc>
        <w:tc>
          <w:tcPr>
            <w:tcW w:w="1504"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建设项目概况</w:t>
            </w:r>
          </w:p>
        </w:tc>
        <w:tc>
          <w:tcPr>
            <w:tcW w:w="912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主要环境影响及预防或减轻不良环境影响的对策和措施</w:t>
            </w:r>
          </w:p>
        </w:tc>
      </w:tr>
      <w:tr w:rsidR="004F6F92" w:rsidRPr="00416F2B">
        <w:tc>
          <w:tcPr>
            <w:tcW w:w="47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1</w:t>
            </w:r>
          </w:p>
        </w:tc>
        <w:tc>
          <w:tcPr>
            <w:tcW w:w="665" w:type="dxa"/>
            <w:vAlign w:val="center"/>
          </w:tcPr>
          <w:p w:rsidR="004F6F92" w:rsidRPr="00416F2B" w:rsidRDefault="00B30C85">
            <w:pPr>
              <w:jc w:val="center"/>
              <w:rPr>
                <w:rFonts w:ascii="Times New Roman" w:hAnsi="Times New Roman" w:cs="Times New Roman"/>
                <w:szCs w:val="21"/>
              </w:rPr>
            </w:pPr>
            <w:r w:rsidRPr="00B30C85">
              <w:rPr>
                <w:rFonts w:ascii="Times New Roman" w:hAnsi="Times New Roman" w:cs="Times New Roman" w:hint="eastAsia"/>
                <w:bCs/>
                <w:szCs w:val="21"/>
              </w:rPr>
              <w:t>河南森特美电子科技有限公司年产</w:t>
            </w:r>
            <w:r w:rsidRPr="00B30C85">
              <w:rPr>
                <w:rFonts w:ascii="Times New Roman" w:hAnsi="Times New Roman" w:cs="Times New Roman" w:hint="eastAsia"/>
                <w:bCs/>
                <w:szCs w:val="21"/>
              </w:rPr>
              <w:t>360</w:t>
            </w:r>
            <w:r w:rsidRPr="00B30C85">
              <w:rPr>
                <w:rFonts w:ascii="Times New Roman" w:hAnsi="Times New Roman" w:cs="Times New Roman" w:hint="eastAsia"/>
                <w:bCs/>
                <w:szCs w:val="21"/>
              </w:rPr>
              <w:t>万平米</w:t>
            </w:r>
            <w:r w:rsidRPr="00B30C85">
              <w:rPr>
                <w:rFonts w:ascii="Times New Roman" w:hAnsi="Times New Roman" w:cs="Times New Roman" w:hint="eastAsia"/>
                <w:bCs/>
                <w:szCs w:val="21"/>
              </w:rPr>
              <w:t>LED</w:t>
            </w:r>
            <w:r w:rsidRPr="00B30C85">
              <w:rPr>
                <w:rFonts w:ascii="Times New Roman" w:hAnsi="Times New Roman" w:cs="Times New Roman" w:hint="eastAsia"/>
                <w:bCs/>
                <w:szCs w:val="21"/>
              </w:rPr>
              <w:t>用线路板建设项目</w:t>
            </w:r>
          </w:p>
        </w:tc>
        <w:tc>
          <w:tcPr>
            <w:tcW w:w="675" w:type="dxa"/>
            <w:vAlign w:val="center"/>
          </w:tcPr>
          <w:p w:rsidR="004F6F92" w:rsidRPr="00416F2B" w:rsidRDefault="009003A3">
            <w:pPr>
              <w:jc w:val="center"/>
              <w:rPr>
                <w:rFonts w:ascii="Times New Roman" w:hAnsi="Times New Roman" w:cs="Times New Roman"/>
                <w:szCs w:val="21"/>
              </w:rPr>
            </w:pPr>
            <w:r w:rsidRPr="009003A3">
              <w:rPr>
                <w:rFonts w:ascii="Times New Roman" w:hAnsi="Times New Roman" w:cs="Times New Roman" w:hint="eastAsia"/>
                <w:szCs w:val="21"/>
              </w:rPr>
              <w:t>唐河县</w:t>
            </w:r>
            <w:r>
              <w:rPr>
                <w:rFonts w:ascii="Times New Roman" w:hAnsi="Times New Roman" w:cs="Times New Roman" w:hint="eastAsia"/>
                <w:szCs w:val="21"/>
              </w:rPr>
              <w:t>先进制造业开发区</w:t>
            </w:r>
            <w:r w:rsidRPr="009003A3">
              <w:rPr>
                <w:rFonts w:ascii="Times New Roman" w:hAnsi="Times New Roman" w:cs="Times New Roman" w:hint="eastAsia"/>
                <w:szCs w:val="21"/>
              </w:rPr>
              <w:t>中小企业孵化园</w:t>
            </w:r>
            <w:r w:rsidRPr="009003A3">
              <w:rPr>
                <w:rFonts w:ascii="Times New Roman" w:hAnsi="Times New Roman" w:cs="Times New Roman" w:hint="eastAsia"/>
                <w:szCs w:val="21"/>
              </w:rPr>
              <w:t>A1</w:t>
            </w:r>
            <w:r w:rsidRPr="009003A3">
              <w:rPr>
                <w:rFonts w:ascii="Times New Roman" w:hAnsi="Times New Roman" w:cs="Times New Roman" w:hint="eastAsia"/>
                <w:szCs w:val="21"/>
              </w:rPr>
              <w:t>车间内</w:t>
            </w:r>
            <w:r w:rsidR="00B30C85">
              <w:rPr>
                <w:rFonts w:ascii="Times New Roman" w:hAnsi="Times New Roman" w:cs="Times New Roman" w:hint="eastAsia"/>
                <w:szCs w:val="21"/>
              </w:rPr>
              <w:t>南</w:t>
            </w:r>
            <w:r w:rsidRPr="009003A3">
              <w:rPr>
                <w:rFonts w:ascii="Times New Roman" w:hAnsi="Times New Roman" w:cs="Times New Roman" w:hint="eastAsia"/>
                <w:szCs w:val="21"/>
              </w:rPr>
              <w:t>侧</w:t>
            </w:r>
          </w:p>
        </w:tc>
        <w:tc>
          <w:tcPr>
            <w:tcW w:w="720" w:type="dxa"/>
            <w:vAlign w:val="center"/>
          </w:tcPr>
          <w:p w:rsidR="004F6F92" w:rsidRPr="00416F2B" w:rsidRDefault="00B30C85">
            <w:pPr>
              <w:jc w:val="center"/>
              <w:rPr>
                <w:rFonts w:ascii="Times New Roman" w:hAnsi="Times New Roman" w:cs="Times New Roman"/>
                <w:szCs w:val="21"/>
              </w:rPr>
            </w:pPr>
            <w:r w:rsidRPr="00B30C85">
              <w:rPr>
                <w:rFonts w:ascii="Times New Roman" w:hAnsi="Times New Roman" w:cs="Times New Roman" w:hint="eastAsia"/>
                <w:bCs/>
                <w:szCs w:val="21"/>
              </w:rPr>
              <w:t>河南森特美电子科技有限公司</w:t>
            </w:r>
          </w:p>
        </w:tc>
        <w:tc>
          <w:tcPr>
            <w:tcW w:w="1121" w:type="dxa"/>
            <w:vAlign w:val="center"/>
          </w:tcPr>
          <w:p w:rsidR="004F6F92" w:rsidRPr="00416F2B" w:rsidRDefault="002558D9" w:rsidP="0036691B">
            <w:pPr>
              <w:jc w:val="center"/>
              <w:rPr>
                <w:rFonts w:ascii="Times New Roman" w:hAnsi="Times New Roman" w:cs="Times New Roman"/>
                <w:szCs w:val="21"/>
              </w:rPr>
            </w:pPr>
            <w:r w:rsidRPr="00416F2B">
              <w:rPr>
                <w:rFonts w:ascii="Times New Roman" w:hAnsi="Times New Roman" w:cs="Times New Roman"/>
                <w:szCs w:val="21"/>
              </w:rPr>
              <w:t>河南</w:t>
            </w:r>
            <w:r w:rsidR="00416F2B" w:rsidRPr="00416F2B">
              <w:rPr>
                <w:rFonts w:ascii="Times New Roman" w:hAnsi="Times New Roman" w:cs="Times New Roman"/>
                <w:szCs w:val="21"/>
              </w:rPr>
              <w:t>淯蓝环保科技有限</w:t>
            </w:r>
            <w:r w:rsidRPr="00416F2B">
              <w:rPr>
                <w:rFonts w:ascii="Times New Roman" w:hAnsi="Times New Roman" w:cs="Times New Roman"/>
                <w:szCs w:val="21"/>
              </w:rPr>
              <w:t>公司</w:t>
            </w:r>
          </w:p>
        </w:tc>
        <w:tc>
          <w:tcPr>
            <w:tcW w:w="1504" w:type="dxa"/>
            <w:vAlign w:val="center"/>
          </w:tcPr>
          <w:p w:rsidR="004F6F92" w:rsidRPr="00416F2B" w:rsidRDefault="00B30C85" w:rsidP="0036691B">
            <w:pPr>
              <w:jc w:val="left"/>
              <w:rPr>
                <w:rFonts w:ascii="Times New Roman" w:hAnsi="Times New Roman" w:cs="Times New Roman"/>
                <w:szCs w:val="21"/>
              </w:rPr>
            </w:pPr>
            <w:r w:rsidRPr="00B30C85">
              <w:rPr>
                <w:rFonts w:ascii="Times New Roman" w:hAnsi="Times New Roman" w:cs="Times New Roman" w:hint="eastAsia"/>
                <w:szCs w:val="21"/>
              </w:rPr>
              <w:t>河南森特美电子科技有限公司拟投资</w:t>
            </w:r>
            <w:r w:rsidRPr="00B30C85">
              <w:rPr>
                <w:rFonts w:ascii="Times New Roman" w:hAnsi="Times New Roman" w:cs="Times New Roman" w:hint="eastAsia"/>
                <w:szCs w:val="21"/>
              </w:rPr>
              <w:t>5170</w:t>
            </w:r>
            <w:r w:rsidRPr="00B30C85">
              <w:rPr>
                <w:rFonts w:ascii="Times New Roman" w:hAnsi="Times New Roman" w:cs="Times New Roman" w:hint="eastAsia"/>
                <w:szCs w:val="21"/>
              </w:rPr>
              <w:t>万元于唐河县先进制造业开发区工业路南侧、镍都路西侧中小企业孵化园内租赁</w:t>
            </w:r>
            <w:r w:rsidRPr="00B30C85">
              <w:rPr>
                <w:rFonts w:ascii="Times New Roman" w:hAnsi="Times New Roman" w:cs="Times New Roman" w:hint="eastAsia"/>
                <w:szCs w:val="21"/>
              </w:rPr>
              <w:t>A1</w:t>
            </w:r>
            <w:r w:rsidRPr="00B30C85">
              <w:rPr>
                <w:rFonts w:ascii="Times New Roman" w:hAnsi="Times New Roman" w:cs="Times New Roman" w:hint="eastAsia"/>
                <w:szCs w:val="21"/>
              </w:rPr>
              <w:t>标准化生产车间南半侧区域建筑面积</w:t>
            </w:r>
            <w:r w:rsidRPr="00B30C85">
              <w:rPr>
                <w:rFonts w:ascii="Times New Roman" w:hAnsi="Times New Roman" w:cs="Times New Roman" w:hint="eastAsia"/>
                <w:szCs w:val="21"/>
              </w:rPr>
              <w:t>5448</w:t>
            </w:r>
            <w:r w:rsidRPr="00B30C85">
              <w:rPr>
                <w:rFonts w:ascii="Times New Roman" w:hAnsi="Times New Roman" w:cs="Times New Roman" w:hint="eastAsia"/>
                <w:szCs w:val="21"/>
              </w:rPr>
              <w:t>平方米，购置开料机、磨板机、丝印机等主要生产设备，建设</w:t>
            </w:r>
            <w:r w:rsidRPr="00B30C85">
              <w:rPr>
                <w:rFonts w:ascii="Times New Roman" w:hAnsi="Times New Roman" w:cs="Times New Roman" w:hint="eastAsia"/>
                <w:szCs w:val="21"/>
              </w:rPr>
              <w:t>5</w:t>
            </w:r>
            <w:r w:rsidRPr="00B30C85">
              <w:rPr>
                <w:rFonts w:ascii="Times New Roman" w:hAnsi="Times New Roman" w:cs="Times New Roman" w:hint="eastAsia"/>
                <w:szCs w:val="21"/>
              </w:rPr>
              <w:t>条智能产品生产线：</w:t>
            </w:r>
            <w:r w:rsidRPr="00B30C85">
              <w:rPr>
                <w:rFonts w:ascii="Times New Roman" w:hAnsi="Times New Roman" w:cs="Times New Roman" w:hint="eastAsia"/>
                <w:szCs w:val="21"/>
              </w:rPr>
              <w:t>1</w:t>
            </w:r>
            <w:r w:rsidRPr="00B30C85">
              <w:rPr>
                <w:rFonts w:ascii="Times New Roman" w:hAnsi="Times New Roman" w:cs="Times New Roman" w:hint="eastAsia"/>
                <w:szCs w:val="21"/>
              </w:rPr>
              <w:t>条铜回收生产线、</w:t>
            </w:r>
            <w:r w:rsidRPr="00B30C85">
              <w:rPr>
                <w:rFonts w:ascii="Times New Roman" w:hAnsi="Times New Roman" w:cs="Times New Roman" w:hint="eastAsia"/>
                <w:szCs w:val="21"/>
              </w:rPr>
              <w:t>1</w:t>
            </w:r>
            <w:r w:rsidRPr="00B30C85">
              <w:rPr>
                <w:rFonts w:ascii="Times New Roman" w:hAnsi="Times New Roman" w:cs="Times New Roman" w:hint="eastAsia"/>
                <w:szCs w:val="21"/>
              </w:rPr>
              <w:t>条网版制作生产线和</w:t>
            </w:r>
            <w:r w:rsidRPr="00B30C85">
              <w:rPr>
                <w:rFonts w:ascii="Times New Roman" w:hAnsi="Times New Roman" w:cs="Times New Roman" w:hint="eastAsia"/>
                <w:szCs w:val="21"/>
              </w:rPr>
              <w:t>3</w:t>
            </w:r>
            <w:r w:rsidRPr="00B30C85">
              <w:rPr>
                <w:rFonts w:ascii="Times New Roman" w:hAnsi="Times New Roman" w:cs="Times New Roman" w:hint="eastAsia"/>
                <w:szCs w:val="21"/>
              </w:rPr>
              <w:t>条全</w:t>
            </w:r>
            <w:r w:rsidRPr="00B30C85">
              <w:rPr>
                <w:rFonts w:ascii="Times New Roman" w:hAnsi="Times New Roman" w:cs="Times New Roman" w:hint="eastAsia"/>
                <w:szCs w:val="21"/>
              </w:rPr>
              <w:lastRenderedPageBreak/>
              <w:t>自动线路板生产线，主要生产工艺为：覆铜板—开料裁切</w:t>
            </w:r>
            <w:r w:rsidRPr="00B30C85">
              <w:rPr>
                <w:rFonts w:ascii="Times New Roman" w:hAnsi="Times New Roman" w:cs="Times New Roman" w:hint="eastAsia"/>
                <w:szCs w:val="21"/>
              </w:rPr>
              <w:t>-</w:t>
            </w:r>
            <w:r w:rsidRPr="00B30C85">
              <w:rPr>
                <w:rFonts w:ascii="Times New Roman" w:hAnsi="Times New Roman" w:cs="Times New Roman" w:hint="eastAsia"/>
                <w:szCs w:val="21"/>
              </w:rPr>
              <w:t>磨板清洁—丝印线路—烘干—蚀刻—退膜—</w:t>
            </w:r>
            <w:r w:rsidRPr="00B30C85">
              <w:rPr>
                <w:rFonts w:ascii="Times New Roman" w:hAnsi="Times New Roman" w:cs="Times New Roman" w:hint="eastAsia"/>
                <w:szCs w:val="21"/>
              </w:rPr>
              <w:t>AOI</w:t>
            </w:r>
            <w:r w:rsidRPr="00B30C85">
              <w:rPr>
                <w:rFonts w:ascii="Times New Roman" w:hAnsi="Times New Roman" w:cs="Times New Roman" w:hint="eastAsia"/>
                <w:szCs w:val="21"/>
              </w:rPr>
              <w:t>检测—磨板清洁—丝印防焊—烘干—丝印文字—烘干—打靶—模冲成型—</w:t>
            </w:r>
            <w:r w:rsidRPr="00B30C85">
              <w:rPr>
                <w:rFonts w:ascii="Times New Roman" w:hAnsi="Times New Roman" w:cs="Times New Roman" w:hint="eastAsia"/>
                <w:szCs w:val="21"/>
              </w:rPr>
              <w:t>V</w:t>
            </w:r>
            <w:r w:rsidRPr="00B30C85">
              <w:rPr>
                <w:rFonts w:ascii="Times New Roman" w:hAnsi="Times New Roman" w:cs="Times New Roman" w:hint="eastAsia"/>
                <w:szCs w:val="21"/>
              </w:rPr>
              <w:t>割</w:t>
            </w:r>
            <w:r w:rsidRPr="00B30C85">
              <w:rPr>
                <w:rFonts w:ascii="Times New Roman" w:hAnsi="Times New Roman" w:cs="Times New Roman" w:hint="eastAsia"/>
                <w:szCs w:val="21"/>
              </w:rPr>
              <w:t>-OSP</w:t>
            </w:r>
            <w:r w:rsidRPr="00B30C85">
              <w:rPr>
                <w:rFonts w:ascii="Times New Roman" w:hAnsi="Times New Roman" w:cs="Times New Roman" w:hint="eastAsia"/>
                <w:szCs w:val="21"/>
              </w:rPr>
              <w:t>表面处理—检验</w:t>
            </w:r>
            <w:r w:rsidRPr="00B30C85">
              <w:rPr>
                <w:rFonts w:ascii="Times New Roman" w:hAnsi="Times New Roman" w:cs="Times New Roman" w:hint="eastAsia"/>
                <w:szCs w:val="21"/>
              </w:rPr>
              <w:t>-</w:t>
            </w:r>
            <w:r w:rsidRPr="00B30C85">
              <w:rPr>
                <w:rFonts w:ascii="Times New Roman" w:hAnsi="Times New Roman" w:cs="Times New Roman" w:hint="eastAsia"/>
                <w:szCs w:val="21"/>
              </w:rPr>
              <w:t>包装入库，投产后可达年产</w:t>
            </w:r>
            <w:r w:rsidRPr="00B30C85">
              <w:rPr>
                <w:rFonts w:ascii="Times New Roman" w:hAnsi="Times New Roman" w:cs="Times New Roman" w:hint="eastAsia"/>
                <w:szCs w:val="21"/>
              </w:rPr>
              <w:t>360</w:t>
            </w:r>
            <w:r w:rsidRPr="00B30C85">
              <w:rPr>
                <w:rFonts w:ascii="Times New Roman" w:hAnsi="Times New Roman" w:cs="Times New Roman" w:hint="eastAsia"/>
                <w:szCs w:val="21"/>
              </w:rPr>
              <w:t>万平米</w:t>
            </w:r>
            <w:r w:rsidRPr="00B30C85">
              <w:rPr>
                <w:rFonts w:ascii="Times New Roman" w:hAnsi="Times New Roman" w:cs="Times New Roman" w:hint="eastAsia"/>
                <w:szCs w:val="21"/>
              </w:rPr>
              <w:t>LED</w:t>
            </w:r>
            <w:r w:rsidRPr="00B30C85">
              <w:rPr>
                <w:rFonts w:ascii="Times New Roman" w:hAnsi="Times New Roman" w:cs="Times New Roman" w:hint="eastAsia"/>
                <w:szCs w:val="21"/>
              </w:rPr>
              <w:t>用线路板的生产规模</w:t>
            </w:r>
          </w:p>
        </w:tc>
        <w:tc>
          <w:tcPr>
            <w:tcW w:w="9120" w:type="dxa"/>
            <w:vAlign w:val="center"/>
          </w:tcPr>
          <w:p w:rsidR="004F6F92" w:rsidRPr="00416F2B" w:rsidRDefault="00825907" w:rsidP="00C1568E">
            <w:pPr>
              <w:ind w:firstLineChars="200" w:firstLine="420"/>
              <w:rPr>
                <w:rFonts w:ascii="Times New Roman" w:eastAsia="宋体" w:hAnsi="Times New Roman" w:cs="Times New Roman"/>
                <w:szCs w:val="21"/>
              </w:rPr>
            </w:pPr>
            <w:r w:rsidRPr="00416F2B">
              <w:rPr>
                <w:rFonts w:ascii="Times New Roman" w:eastAsia="宋体" w:hAnsi="Times New Roman" w:cs="Times New Roman"/>
                <w:szCs w:val="21"/>
              </w:rPr>
              <w:lastRenderedPageBreak/>
              <w:t>（</w:t>
            </w:r>
            <w:r w:rsidRPr="00416F2B">
              <w:rPr>
                <w:rFonts w:ascii="Times New Roman" w:eastAsia="宋体" w:hAnsi="Times New Roman" w:cs="Times New Roman"/>
                <w:szCs w:val="21"/>
              </w:rPr>
              <w:t>1</w:t>
            </w:r>
            <w:r w:rsidRPr="00416F2B">
              <w:rPr>
                <w:rFonts w:ascii="Times New Roman" w:eastAsia="宋体" w:hAnsi="Times New Roman" w:cs="Times New Roman"/>
                <w:szCs w:val="21"/>
              </w:rPr>
              <w:t>）大气环境：</w:t>
            </w:r>
          </w:p>
          <w:p w:rsidR="00B30C85" w:rsidRDefault="00B30C85" w:rsidP="00C1568E">
            <w:pPr>
              <w:ind w:firstLineChars="200" w:firstLine="420"/>
              <w:rPr>
                <w:rFonts w:ascii="宋体" w:eastAsia="宋体" w:hAnsi="宋体" w:cs="宋体"/>
              </w:rPr>
            </w:pPr>
            <w:r>
              <w:rPr>
                <w:rFonts w:ascii="宋体" w:eastAsia="宋体" w:hAnsi="宋体" w:cs="宋体" w:hint="eastAsia"/>
              </w:rPr>
              <w:t>①</w:t>
            </w:r>
            <w:r w:rsidRPr="00B30C85">
              <w:rPr>
                <w:rFonts w:ascii="宋体" w:eastAsia="宋体" w:hAnsi="宋体" w:cs="宋体" w:hint="eastAsia"/>
              </w:rPr>
              <w:t>开料裁切</w:t>
            </w:r>
            <w:r>
              <w:rPr>
                <w:rFonts w:ascii="宋体" w:eastAsia="宋体" w:hAnsi="宋体" w:cs="宋体" w:hint="eastAsia"/>
              </w:rPr>
              <w:t>冲孔粉尘：</w:t>
            </w:r>
            <w:r w:rsidRPr="00B30C85">
              <w:rPr>
                <w:rFonts w:ascii="宋体" w:eastAsia="宋体" w:hAnsi="宋体" w:cs="宋体" w:hint="eastAsia"/>
              </w:rPr>
              <w:t>对裁切机、液压冲床设备上方设置集气罩（共20个，其中开料裁切机4个、液压冲床16个），粉尘经集气收集至1套覆膜袋式除尘器（TA001）处理后经1根15m高排气筒（DA001）引至高空排放</w:t>
            </w:r>
            <w:r>
              <w:rPr>
                <w:rFonts w:ascii="宋体" w:eastAsia="宋体" w:hAnsi="宋体" w:cs="宋体" w:hint="eastAsia"/>
              </w:rPr>
              <w:t>；可以</w:t>
            </w:r>
            <w:r w:rsidRPr="00B30C85">
              <w:rPr>
                <w:rFonts w:ascii="宋体" w:eastAsia="宋体" w:hAnsi="宋体" w:cs="宋体" w:hint="eastAsia"/>
              </w:rPr>
              <w:t>满足《大气污染物综合排放标准》（GB16297-1996）表2中二级标准及《河南省重污染天气通用行业应急减排措施制定技术指南（202</w:t>
            </w:r>
            <w:r w:rsidR="00F85556">
              <w:rPr>
                <w:rFonts w:ascii="宋体" w:eastAsia="宋体" w:hAnsi="宋体" w:cs="宋体"/>
              </w:rPr>
              <w:t>4</w:t>
            </w:r>
            <w:r w:rsidRPr="00B30C85">
              <w:rPr>
                <w:rFonts w:ascii="宋体" w:eastAsia="宋体" w:hAnsi="宋体" w:cs="宋体" w:hint="eastAsia"/>
              </w:rPr>
              <w:t>年修订版）》涉PM</w:t>
            </w:r>
            <w:r w:rsidR="00F85556">
              <w:rPr>
                <w:rFonts w:ascii="宋体" w:eastAsia="宋体" w:hAnsi="宋体" w:cs="宋体" w:hint="eastAsia"/>
              </w:rPr>
              <w:t>企业绩效引领性指标排放限值</w:t>
            </w:r>
            <w:r w:rsidRPr="00B30C85">
              <w:rPr>
                <w:rFonts w:ascii="宋体" w:eastAsia="宋体" w:hAnsi="宋体" w:cs="宋体" w:hint="eastAsia"/>
              </w:rPr>
              <w:t>要求</w:t>
            </w:r>
            <w:r>
              <w:rPr>
                <w:rFonts w:ascii="宋体" w:eastAsia="宋体" w:hAnsi="宋体" w:cs="宋体" w:hint="eastAsia"/>
              </w:rPr>
              <w:t>；</w:t>
            </w:r>
          </w:p>
          <w:p w:rsidR="00B30C85" w:rsidRDefault="00B30C85" w:rsidP="00C1568E">
            <w:pPr>
              <w:ind w:firstLineChars="200" w:firstLine="420"/>
              <w:rPr>
                <w:rFonts w:ascii="宋体" w:eastAsia="宋体" w:hAnsi="宋体" w:cs="宋体"/>
              </w:rPr>
            </w:pPr>
            <w:r>
              <w:rPr>
                <w:rFonts w:ascii="宋体" w:eastAsia="宋体" w:hAnsi="宋体" w:cs="宋体" w:hint="eastAsia"/>
              </w:rPr>
              <w:t>②</w:t>
            </w:r>
            <w:r w:rsidRPr="00B30C85">
              <w:rPr>
                <w:rFonts w:ascii="宋体" w:eastAsia="宋体" w:hAnsi="宋体" w:cs="宋体" w:hint="eastAsia"/>
              </w:rPr>
              <w:t>丝印固化、OSP药水抗氧化、网版涂胶烘烤</w:t>
            </w:r>
            <w:r>
              <w:rPr>
                <w:rFonts w:ascii="宋体" w:eastAsia="宋体" w:hAnsi="宋体" w:cs="宋体" w:hint="eastAsia"/>
              </w:rPr>
              <w:t>有机废气：</w:t>
            </w:r>
            <w:r w:rsidRPr="00B30C85">
              <w:rPr>
                <w:rFonts w:ascii="宋体" w:eastAsia="宋体" w:hAnsi="宋体" w:cs="宋体" w:hint="eastAsia"/>
              </w:rPr>
              <w:t>丝印区二次封闭、集气罩集气收集；烘烤隧道炉全封闭、设备预留呼吸口集气收集；OSP抗氧化槽全封闭、设备预留呼吸口集气收集；上浆烘烤车间内二次封闭、负压集气收集；各集气收集的有机废气经通风管道通至1套UV光氧催化净化设备+两级活性炭吸附系统（TA002）处理后经1根15m高排气筒（DA002）引至高空排放</w:t>
            </w:r>
            <w:r>
              <w:rPr>
                <w:rFonts w:ascii="宋体" w:eastAsia="宋体" w:hAnsi="宋体" w:cs="宋体" w:hint="eastAsia"/>
              </w:rPr>
              <w:t>；可以满足</w:t>
            </w:r>
            <w:r w:rsidRPr="00B30C85">
              <w:rPr>
                <w:rFonts w:ascii="宋体" w:eastAsia="宋体" w:hAnsi="宋体" w:cs="宋体" w:hint="eastAsia"/>
              </w:rPr>
              <w:t>《大气污染物综合排放标准》（GB16297-1996）表2中二级标准和《关于全省开展工业企业挥发性有机物专项治理工作中排放建议值的通知》（豫环攻坚办[2017]162号）附件1其他工业排放浓度限值</w:t>
            </w:r>
            <w:r w:rsidR="00F85556">
              <w:rPr>
                <w:rFonts w:ascii="宋体" w:eastAsia="宋体" w:hAnsi="宋体" w:cs="宋体" w:hint="eastAsia"/>
              </w:rPr>
              <w:t>、</w:t>
            </w:r>
            <w:r w:rsidR="00F85556" w:rsidRPr="00B30C85">
              <w:rPr>
                <w:rFonts w:ascii="宋体" w:eastAsia="宋体" w:hAnsi="宋体" w:cs="宋体" w:hint="eastAsia"/>
              </w:rPr>
              <w:t>《河南省重污染天气通用行业应急减排措施制定技术指南（202</w:t>
            </w:r>
            <w:r w:rsidR="00F85556">
              <w:rPr>
                <w:rFonts w:ascii="宋体" w:eastAsia="宋体" w:hAnsi="宋体" w:cs="宋体"/>
              </w:rPr>
              <w:t>4</w:t>
            </w:r>
            <w:r w:rsidR="00F85556" w:rsidRPr="00B30C85">
              <w:rPr>
                <w:rFonts w:ascii="宋体" w:eastAsia="宋体" w:hAnsi="宋体" w:cs="宋体" w:hint="eastAsia"/>
              </w:rPr>
              <w:t>年修订版）》涉</w:t>
            </w:r>
            <w:r w:rsidR="00F85556">
              <w:rPr>
                <w:rFonts w:ascii="宋体" w:eastAsia="宋体" w:hAnsi="宋体" w:cs="宋体"/>
              </w:rPr>
              <w:t>VOCs</w:t>
            </w:r>
            <w:r w:rsidR="00F85556">
              <w:rPr>
                <w:rFonts w:ascii="宋体" w:eastAsia="宋体" w:hAnsi="宋体" w:cs="宋体" w:hint="eastAsia"/>
              </w:rPr>
              <w:t>企业绩效引领性指标</w:t>
            </w:r>
            <w:r w:rsidR="00F85556">
              <w:rPr>
                <w:rFonts w:ascii="宋体" w:eastAsia="宋体" w:hAnsi="宋体" w:cs="宋体" w:hint="eastAsia"/>
              </w:rPr>
              <w:t>排放限值</w:t>
            </w:r>
            <w:bookmarkStart w:id="0" w:name="_GoBack"/>
            <w:bookmarkEnd w:id="0"/>
            <w:r w:rsidR="00F85556" w:rsidRPr="00B30C85">
              <w:rPr>
                <w:rFonts w:ascii="宋体" w:eastAsia="宋体" w:hAnsi="宋体" w:cs="宋体" w:hint="eastAsia"/>
              </w:rPr>
              <w:t>要求</w:t>
            </w:r>
            <w:r>
              <w:rPr>
                <w:rFonts w:ascii="宋体" w:eastAsia="宋体" w:hAnsi="宋体" w:cs="宋体" w:hint="eastAsia"/>
              </w:rPr>
              <w:t>；</w:t>
            </w:r>
          </w:p>
          <w:p w:rsidR="00B30C85" w:rsidRDefault="00B30C85" w:rsidP="00C1568E">
            <w:pPr>
              <w:ind w:firstLineChars="200" w:firstLine="420"/>
              <w:rPr>
                <w:rFonts w:ascii="宋体" w:eastAsia="宋体" w:hAnsi="宋体" w:cs="宋体"/>
              </w:rPr>
            </w:pPr>
            <w:r>
              <w:rPr>
                <w:rFonts w:ascii="宋体" w:eastAsia="宋体" w:hAnsi="宋体" w:cs="宋体" w:hint="eastAsia"/>
              </w:rPr>
              <w:t>③酸碱废气（磨板酸洗、除油、微蚀；碱性蚀刻、蚀刻液再生）：</w:t>
            </w:r>
            <w:r w:rsidRPr="00B30C85">
              <w:rPr>
                <w:rFonts w:ascii="宋体" w:eastAsia="宋体" w:hAnsi="宋体" w:cs="宋体" w:hint="eastAsia"/>
              </w:rPr>
              <w:t>项目2个磨板酸洗槽、3个除油槽和3个微蚀槽、6个碱性蚀刻槽和1个碱性蚀刻液再生系统各槽体均全封闭，槽体上方预留有呼吸口；产生的酸性废气和含氨废气分别经各槽体预留呼吸口集气收集至1套酸液喷淋塔（TA003）净化处理后经1根15m高排气筒（DA003）引至高空排放</w:t>
            </w:r>
            <w:r>
              <w:rPr>
                <w:rFonts w:ascii="宋体" w:eastAsia="宋体" w:hAnsi="宋体" w:cs="宋体" w:hint="eastAsia"/>
              </w:rPr>
              <w:t>；硫酸雾排放满足</w:t>
            </w:r>
            <w:r w:rsidRPr="00B30C85">
              <w:rPr>
                <w:rFonts w:ascii="宋体" w:eastAsia="宋体" w:hAnsi="宋体" w:cs="宋体" w:hint="eastAsia"/>
              </w:rPr>
              <w:t>《大气污染物综合排放标准》（GB16297-1996）表2中二级标准</w:t>
            </w:r>
            <w:r>
              <w:rPr>
                <w:rFonts w:ascii="宋体" w:eastAsia="宋体" w:hAnsi="宋体" w:cs="宋体" w:hint="eastAsia"/>
              </w:rPr>
              <w:t>；氨排放满足</w:t>
            </w:r>
            <w:r w:rsidRPr="00B30C85">
              <w:rPr>
                <w:rFonts w:ascii="宋体" w:eastAsia="宋体" w:hAnsi="宋体" w:cs="宋体" w:hint="eastAsia"/>
              </w:rPr>
              <w:t>《恶臭污染物排放标准》（GB14554-93）限值要求</w:t>
            </w:r>
            <w:r>
              <w:rPr>
                <w:rFonts w:ascii="宋体" w:eastAsia="宋体" w:hAnsi="宋体" w:cs="宋体" w:hint="eastAsia"/>
              </w:rPr>
              <w:t>。</w:t>
            </w:r>
          </w:p>
          <w:p w:rsidR="004F6F92" w:rsidRPr="00416F2B" w:rsidRDefault="00825907" w:rsidP="00C1568E">
            <w:pPr>
              <w:ind w:firstLineChars="200" w:firstLine="420"/>
              <w:rPr>
                <w:rFonts w:ascii="Times New Roman" w:eastAsia="宋体" w:hAnsi="Times New Roman" w:cs="Times New Roman"/>
                <w:szCs w:val="21"/>
              </w:rPr>
            </w:pPr>
            <w:r w:rsidRPr="00416F2B">
              <w:rPr>
                <w:rFonts w:ascii="Times New Roman" w:eastAsia="宋体" w:hAnsi="Times New Roman" w:cs="Times New Roman"/>
                <w:szCs w:val="21"/>
              </w:rPr>
              <w:t>（</w:t>
            </w:r>
            <w:r w:rsidRPr="00416F2B">
              <w:rPr>
                <w:rFonts w:ascii="Times New Roman" w:eastAsia="宋体" w:hAnsi="Times New Roman" w:cs="Times New Roman"/>
                <w:szCs w:val="21"/>
              </w:rPr>
              <w:t>2</w:t>
            </w:r>
            <w:r w:rsidRPr="00416F2B">
              <w:rPr>
                <w:rFonts w:ascii="Times New Roman" w:eastAsia="宋体" w:hAnsi="Times New Roman" w:cs="Times New Roman"/>
                <w:szCs w:val="21"/>
              </w:rPr>
              <w:t>）水环境：</w:t>
            </w:r>
          </w:p>
          <w:p w:rsidR="00B30C85" w:rsidRDefault="00B30C85" w:rsidP="009003A3">
            <w:pPr>
              <w:ind w:firstLineChars="200" w:firstLine="420"/>
            </w:pPr>
            <w:r>
              <w:rPr>
                <w:rFonts w:ascii="Times New Roman" w:eastAsia="宋体" w:hAnsi="Times New Roman" w:cs="Times New Roman" w:hint="eastAsia"/>
                <w:szCs w:val="21"/>
              </w:rPr>
              <w:t>①生活污水：</w:t>
            </w:r>
            <w:r w:rsidR="009003A3" w:rsidRPr="009003A3">
              <w:rPr>
                <w:rFonts w:ascii="Times New Roman" w:eastAsia="宋体" w:hAnsi="Times New Roman" w:cs="Times New Roman" w:hint="eastAsia"/>
                <w:szCs w:val="21"/>
              </w:rPr>
              <w:t>近期，项目营运期生活污水经配套化粪池（容积</w:t>
            </w:r>
            <w:r w:rsidR="009003A3" w:rsidRPr="009003A3">
              <w:rPr>
                <w:rFonts w:ascii="Times New Roman" w:eastAsia="宋体" w:hAnsi="Times New Roman" w:cs="Times New Roman" w:hint="eastAsia"/>
                <w:szCs w:val="21"/>
              </w:rPr>
              <w:t>10m</w:t>
            </w:r>
            <w:r w:rsidR="009003A3" w:rsidRPr="009003A3">
              <w:rPr>
                <w:rFonts w:ascii="Times New Roman" w:eastAsia="宋体" w:hAnsi="Times New Roman" w:cs="Times New Roman" w:hint="eastAsia"/>
                <w:szCs w:val="21"/>
                <w:vertAlign w:val="superscript"/>
              </w:rPr>
              <w:t>3</w:t>
            </w:r>
            <w:r w:rsidR="009003A3" w:rsidRPr="009003A3">
              <w:rPr>
                <w:rFonts w:ascii="Times New Roman" w:eastAsia="宋体" w:hAnsi="Times New Roman" w:cs="Times New Roman" w:hint="eastAsia"/>
                <w:szCs w:val="21"/>
              </w:rPr>
              <w:t>）处理满足《污水综合排</w:t>
            </w:r>
            <w:r w:rsidR="009003A3" w:rsidRPr="009003A3">
              <w:rPr>
                <w:rFonts w:ascii="Times New Roman" w:eastAsia="宋体" w:hAnsi="Times New Roman" w:cs="Times New Roman" w:hint="eastAsia"/>
                <w:szCs w:val="21"/>
              </w:rPr>
              <w:lastRenderedPageBreak/>
              <w:t>放标准》（</w:t>
            </w:r>
            <w:r w:rsidR="009003A3" w:rsidRPr="009003A3">
              <w:rPr>
                <w:rFonts w:ascii="Times New Roman" w:eastAsia="宋体" w:hAnsi="Times New Roman" w:cs="Times New Roman" w:hint="eastAsia"/>
                <w:szCs w:val="21"/>
              </w:rPr>
              <w:t>GB8978-1996</w:t>
            </w:r>
            <w:r w:rsidR="009003A3" w:rsidRPr="009003A3">
              <w:rPr>
                <w:rFonts w:ascii="Times New Roman" w:eastAsia="宋体" w:hAnsi="Times New Roman" w:cs="Times New Roman" w:hint="eastAsia"/>
                <w:szCs w:val="21"/>
              </w:rPr>
              <w:t>）表</w:t>
            </w:r>
            <w:r w:rsidR="009003A3" w:rsidRPr="009003A3">
              <w:rPr>
                <w:rFonts w:ascii="Times New Roman" w:eastAsia="宋体" w:hAnsi="Times New Roman" w:cs="Times New Roman" w:hint="eastAsia"/>
                <w:szCs w:val="21"/>
              </w:rPr>
              <w:t>4</w:t>
            </w:r>
            <w:r w:rsidR="009003A3" w:rsidRPr="009003A3">
              <w:rPr>
                <w:rFonts w:ascii="Times New Roman" w:eastAsia="宋体" w:hAnsi="Times New Roman" w:cs="Times New Roman" w:hint="eastAsia"/>
                <w:szCs w:val="21"/>
              </w:rPr>
              <w:t>三级标准和唐河县农机产业园污水处理工程允许进水水质要求后进入市政污水管网、通入唐河县农机产业园污水处理工程进一步处理后排入三夹河、汇入唐河</w:t>
            </w:r>
            <w:r w:rsidR="009003A3">
              <w:rPr>
                <w:rFonts w:ascii="Times New Roman" w:eastAsia="宋体" w:hAnsi="Times New Roman" w:cs="Times New Roman" w:hint="eastAsia"/>
                <w:szCs w:val="21"/>
              </w:rPr>
              <w:t>；</w:t>
            </w:r>
            <w:r w:rsidR="009003A3" w:rsidRPr="00E51F33">
              <w:rPr>
                <w:rFonts w:hint="eastAsia"/>
              </w:rPr>
              <w:t>远期待区域市政污水管网连通衔接至唐河县第四污水处理厂后，项目营运期生活污水经配套化粪池（容积</w:t>
            </w:r>
            <w:r w:rsidR="009003A3" w:rsidRPr="00E51F33">
              <w:rPr>
                <w:rFonts w:hint="eastAsia"/>
              </w:rPr>
              <w:t>10m</w:t>
            </w:r>
            <w:r w:rsidR="009003A3" w:rsidRPr="00E51F33">
              <w:rPr>
                <w:rFonts w:hint="eastAsia"/>
                <w:vertAlign w:val="superscript"/>
              </w:rPr>
              <w:t>3</w:t>
            </w:r>
            <w:r w:rsidR="009003A3" w:rsidRPr="00E51F33">
              <w:rPr>
                <w:rFonts w:hint="eastAsia"/>
              </w:rPr>
              <w:t>）处理满足《污水综合排放标准》（</w:t>
            </w:r>
            <w:r w:rsidR="009003A3" w:rsidRPr="00E51F33">
              <w:rPr>
                <w:rFonts w:hint="eastAsia"/>
              </w:rPr>
              <w:t>GB</w:t>
            </w:r>
            <w:r w:rsidR="009003A3" w:rsidRPr="00E51F33">
              <w:t>8978-1996</w:t>
            </w:r>
            <w:r w:rsidR="009003A3" w:rsidRPr="00E51F33">
              <w:rPr>
                <w:rFonts w:hint="eastAsia"/>
              </w:rPr>
              <w:t>）表</w:t>
            </w:r>
            <w:r w:rsidR="009003A3" w:rsidRPr="00E51F33">
              <w:t>4</w:t>
            </w:r>
            <w:r w:rsidR="009003A3" w:rsidRPr="00E51F33">
              <w:rPr>
                <w:rFonts w:hint="eastAsia"/>
              </w:rPr>
              <w:t>三级标准和唐河县第四污水处理厂允许进水水质要求后进入市政污水管网、通入唐河县第四污水处理厂进一步处理后排入三夹河、汇入唐河</w:t>
            </w:r>
            <w:r w:rsidR="009003A3">
              <w:rPr>
                <w:rFonts w:hint="eastAsia"/>
              </w:rPr>
              <w:t>；</w:t>
            </w:r>
          </w:p>
          <w:p w:rsidR="00C231FA" w:rsidRPr="00B30C85" w:rsidRDefault="00B30C85" w:rsidP="00B30C85">
            <w:pPr>
              <w:ind w:firstLineChars="200" w:firstLine="420"/>
            </w:pPr>
            <w:r>
              <w:rPr>
                <w:rFonts w:hint="eastAsia"/>
              </w:rPr>
              <w:t>②生产废水：近期，</w:t>
            </w:r>
            <w:r w:rsidRPr="00B30C85">
              <w:rPr>
                <w:rFonts w:hint="eastAsia"/>
              </w:rPr>
              <w:t>高浓度有机废水经酸析预处理、蚀刻清洗废水经破络预处理后与综合生产废水一起经絮凝沉淀处理后废水水质满足《电子工业水污染物排放标准》（</w:t>
            </w:r>
            <w:r w:rsidRPr="00B30C85">
              <w:rPr>
                <w:rFonts w:hint="eastAsia"/>
              </w:rPr>
              <w:t>GB39731-2020</w:t>
            </w:r>
            <w:r w:rsidRPr="00B30C85">
              <w:rPr>
                <w:rFonts w:hint="eastAsia"/>
              </w:rPr>
              <w:t>）及中小企业孵化园集中污水处理站允许进水水质后通入中小企业孵化园集中污水处理站进一步处理满足《城镇污水处理厂污染物排放标准》（</w:t>
            </w:r>
            <w:r w:rsidRPr="00B30C85">
              <w:rPr>
                <w:rFonts w:hint="eastAsia"/>
              </w:rPr>
              <w:t>GB18918-2002</w:t>
            </w:r>
            <w:r w:rsidRPr="00B30C85">
              <w:rPr>
                <w:rFonts w:hint="eastAsia"/>
              </w:rPr>
              <w:t>）一级</w:t>
            </w:r>
            <w:r w:rsidRPr="00B30C85">
              <w:rPr>
                <w:rFonts w:hint="eastAsia"/>
              </w:rPr>
              <w:t>A</w:t>
            </w:r>
            <w:r w:rsidRPr="00B30C85">
              <w:rPr>
                <w:rFonts w:hint="eastAsia"/>
              </w:rPr>
              <w:t>标准后排入三夹河</w:t>
            </w:r>
            <w:r>
              <w:rPr>
                <w:rFonts w:hint="eastAsia"/>
              </w:rPr>
              <w:t>；远期，</w:t>
            </w:r>
            <w:r w:rsidRPr="00B30C85">
              <w:rPr>
                <w:rFonts w:hint="eastAsia"/>
              </w:rPr>
              <w:t>高浓度有机废水经酸析预处理、蚀刻清洗废水经破络预处理后与综合生产废水一起经絮凝沉淀处理后废水水质满足《电子工业水污染物排放标准》（</w:t>
            </w:r>
            <w:r w:rsidRPr="00B30C85">
              <w:rPr>
                <w:rFonts w:hint="eastAsia"/>
              </w:rPr>
              <w:t>GB39731-2020</w:t>
            </w:r>
            <w:r w:rsidRPr="00B30C85">
              <w:rPr>
                <w:rFonts w:hint="eastAsia"/>
              </w:rPr>
              <w:t>）及中小企业孵化园集中污水处理站允许进水水质后通入中小企业孵化园集中污水处理站处理满足《污水综合排放标准》（</w:t>
            </w:r>
            <w:r w:rsidRPr="00B30C85">
              <w:rPr>
                <w:rFonts w:hint="eastAsia"/>
              </w:rPr>
              <w:t>GB8978-1996</w:t>
            </w:r>
            <w:r w:rsidRPr="00B30C85">
              <w:rPr>
                <w:rFonts w:hint="eastAsia"/>
              </w:rPr>
              <w:t>）表</w:t>
            </w:r>
            <w:r w:rsidRPr="00B30C85">
              <w:rPr>
                <w:rFonts w:hint="eastAsia"/>
              </w:rPr>
              <w:t>4</w:t>
            </w:r>
            <w:r w:rsidRPr="00B30C85">
              <w:rPr>
                <w:rFonts w:hint="eastAsia"/>
              </w:rPr>
              <w:t>三级及唐河县第四污水处理厂允许进水水质后通入唐河县第四污水处理厂进一步处理达标后排入三夹河、汇入唐河</w:t>
            </w:r>
            <w:r>
              <w:rPr>
                <w:rFonts w:hint="eastAsia"/>
              </w:rPr>
              <w:t>；</w:t>
            </w:r>
            <w:r>
              <w:rPr>
                <w:rFonts w:ascii="Times New Roman" w:eastAsia="宋体" w:hAnsi="Times New Roman" w:cs="Times New Roman" w:hint="eastAsia"/>
                <w:szCs w:val="21"/>
              </w:rPr>
              <w:t>项目建设</w:t>
            </w:r>
            <w:r w:rsidR="002558D9" w:rsidRPr="00416F2B">
              <w:rPr>
                <w:rFonts w:ascii="Times New Roman" w:eastAsia="宋体" w:hAnsi="Times New Roman" w:cs="Times New Roman"/>
                <w:szCs w:val="21"/>
              </w:rPr>
              <w:t>对周围地表水环境不会产生明显不良影响</w:t>
            </w:r>
            <w:r w:rsidR="00C231FA" w:rsidRPr="00416F2B">
              <w:rPr>
                <w:rFonts w:ascii="Times New Roman" w:eastAsia="宋体" w:hAnsi="Times New Roman" w:cs="Times New Roman"/>
                <w:szCs w:val="21"/>
              </w:rPr>
              <w:t>。</w:t>
            </w:r>
          </w:p>
          <w:p w:rsidR="004F6F92" w:rsidRPr="00416F2B" w:rsidRDefault="00825907" w:rsidP="00C231FA">
            <w:pPr>
              <w:numPr>
                <w:ilvl w:val="0"/>
                <w:numId w:val="1"/>
              </w:numPr>
              <w:ind w:firstLineChars="200" w:firstLine="420"/>
              <w:jc w:val="left"/>
              <w:rPr>
                <w:rFonts w:ascii="Times New Roman" w:eastAsia="宋体" w:hAnsi="Times New Roman" w:cs="Times New Roman"/>
                <w:szCs w:val="21"/>
              </w:rPr>
            </w:pPr>
            <w:r w:rsidRPr="00416F2B">
              <w:rPr>
                <w:rFonts w:ascii="Times New Roman" w:eastAsia="宋体" w:hAnsi="Times New Roman" w:cs="Times New Roman"/>
                <w:szCs w:val="21"/>
              </w:rPr>
              <w:t>声环境：</w:t>
            </w:r>
          </w:p>
          <w:p w:rsidR="004F6F92" w:rsidRPr="00416F2B" w:rsidRDefault="009003A3" w:rsidP="009003A3">
            <w:pPr>
              <w:ind w:firstLineChars="200" w:firstLine="420"/>
              <w:rPr>
                <w:rFonts w:ascii="Times New Roman" w:eastAsia="宋体" w:hAnsi="Times New Roman" w:cs="Times New Roman"/>
                <w:szCs w:val="21"/>
              </w:rPr>
            </w:pPr>
            <w:r w:rsidRPr="009003A3">
              <w:rPr>
                <w:rFonts w:ascii="Times New Roman" w:eastAsia="宋体" w:hAnsi="Times New Roman" w:cs="Times New Roman" w:hint="eastAsia"/>
                <w:szCs w:val="21"/>
              </w:rPr>
              <w:t>项目噪声主要为生产设备机械运行产生的机械噪声</w:t>
            </w:r>
            <w:r w:rsidR="00416F2B" w:rsidRPr="00416F2B">
              <w:rPr>
                <w:rFonts w:ascii="Times New Roman" w:eastAsia="宋体" w:hAnsi="Times New Roman" w:cs="Times New Roman"/>
                <w:szCs w:val="21"/>
              </w:rPr>
              <w:t>，噪声源在</w:t>
            </w:r>
            <w:r w:rsidR="00416F2B" w:rsidRPr="00416F2B">
              <w:rPr>
                <w:rFonts w:ascii="Times New Roman" w:eastAsia="宋体" w:hAnsi="Times New Roman" w:cs="Times New Roman"/>
                <w:szCs w:val="21"/>
              </w:rPr>
              <w:t>70~85dB</w:t>
            </w:r>
            <w:r w:rsidR="00416F2B" w:rsidRPr="00416F2B">
              <w:rPr>
                <w:rFonts w:ascii="Times New Roman" w:eastAsia="宋体" w:hAnsi="Times New Roman" w:cs="Times New Roman"/>
                <w:szCs w:val="21"/>
              </w:rPr>
              <w:t>（</w:t>
            </w:r>
            <w:r w:rsidR="00416F2B" w:rsidRPr="00416F2B">
              <w:rPr>
                <w:rFonts w:ascii="Times New Roman" w:eastAsia="宋体" w:hAnsi="Times New Roman" w:cs="Times New Roman"/>
                <w:szCs w:val="21"/>
              </w:rPr>
              <w:t>A</w:t>
            </w:r>
            <w:r w:rsidR="00416F2B" w:rsidRPr="00416F2B">
              <w:rPr>
                <w:rFonts w:ascii="Times New Roman" w:eastAsia="宋体" w:hAnsi="Times New Roman" w:cs="Times New Roman"/>
                <w:szCs w:val="21"/>
              </w:rPr>
              <w:t>）之间。</w:t>
            </w:r>
            <w:r w:rsidR="0036691B" w:rsidRPr="00416F2B">
              <w:rPr>
                <w:rFonts w:ascii="Times New Roman" w:eastAsia="宋体" w:hAnsi="Times New Roman" w:cs="Times New Roman"/>
                <w:szCs w:val="21"/>
              </w:rPr>
              <w:t>经过减振降噪、距离衰减后，</w:t>
            </w:r>
            <w:r w:rsidR="00416F2B" w:rsidRPr="00416F2B">
              <w:rPr>
                <w:rFonts w:ascii="Times New Roman" w:eastAsia="宋体" w:hAnsi="Times New Roman" w:cs="Times New Roman"/>
                <w:szCs w:val="21"/>
              </w:rPr>
              <w:t>四周</w:t>
            </w:r>
            <w:r w:rsidR="002558D9" w:rsidRPr="00416F2B">
              <w:rPr>
                <w:rFonts w:ascii="Times New Roman" w:eastAsia="宋体" w:hAnsi="Times New Roman" w:cs="Times New Roman"/>
                <w:szCs w:val="21"/>
              </w:rPr>
              <w:t>厂界昼夜噪声预测值可以满足《工业企业厂界环境噪声排放标准》（</w:t>
            </w:r>
            <w:r w:rsidR="002558D9" w:rsidRPr="00416F2B">
              <w:rPr>
                <w:rFonts w:ascii="Times New Roman" w:eastAsia="宋体" w:hAnsi="Times New Roman" w:cs="Times New Roman"/>
                <w:szCs w:val="21"/>
              </w:rPr>
              <w:t>GB12348-2008</w:t>
            </w:r>
            <w:r w:rsidR="002558D9" w:rsidRPr="00416F2B">
              <w:rPr>
                <w:rFonts w:ascii="Times New Roman" w:eastAsia="宋体" w:hAnsi="Times New Roman" w:cs="Times New Roman"/>
                <w:szCs w:val="21"/>
              </w:rPr>
              <w:t>）</w:t>
            </w:r>
            <w:r>
              <w:rPr>
                <w:rFonts w:ascii="Times New Roman" w:eastAsia="宋体" w:hAnsi="Times New Roman" w:cs="Times New Roman"/>
                <w:szCs w:val="21"/>
              </w:rPr>
              <w:t>3</w:t>
            </w:r>
            <w:r w:rsidR="002558D9" w:rsidRPr="00416F2B">
              <w:rPr>
                <w:rFonts w:ascii="Times New Roman" w:eastAsia="宋体" w:hAnsi="Times New Roman" w:cs="Times New Roman"/>
                <w:szCs w:val="21"/>
              </w:rPr>
              <w:t>类区排放标准限值要求</w:t>
            </w:r>
            <w:r w:rsidR="00825907" w:rsidRPr="00416F2B">
              <w:rPr>
                <w:rFonts w:ascii="Times New Roman" w:eastAsia="宋体" w:hAnsi="Times New Roman" w:cs="Times New Roman"/>
                <w:szCs w:val="21"/>
              </w:rPr>
              <w:t>，对周围</w:t>
            </w:r>
            <w:r w:rsidR="002558D9" w:rsidRPr="00416F2B">
              <w:rPr>
                <w:rFonts w:ascii="Times New Roman" w:eastAsia="宋体" w:hAnsi="Times New Roman" w:cs="Times New Roman"/>
                <w:szCs w:val="21"/>
              </w:rPr>
              <w:t>声</w:t>
            </w:r>
            <w:r w:rsidR="00825907" w:rsidRPr="00416F2B">
              <w:rPr>
                <w:rFonts w:ascii="Times New Roman" w:eastAsia="宋体" w:hAnsi="Times New Roman" w:cs="Times New Roman"/>
                <w:szCs w:val="21"/>
              </w:rPr>
              <w:t>环境影响不大。</w:t>
            </w:r>
          </w:p>
          <w:p w:rsidR="004F6F92" w:rsidRPr="00416F2B" w:rsidRDefault="00825907">
            <w:pPr>
              <w:ind w:firstLineChars="200" w:firstLine="420"/>
              <w:jc w:val="left"/>
              <w:rPr>
                <w:rFonts w:ascii="Times New Roman" w:eastAsia="宋体" w:hAnsi="Times New Roman" w:cs="Times New Roman"/>
                <w:szCs w:val="21"/>
              </w:rPr>
            </w:pPr>
            <w:r w:rsidRPr="00416F2B">
              <w:rPr>
                <w:rFonts w:ascii="Times New Roman" w:eastAsia="宋体" w:hAnsi="Times New Roman" w:cs="Times New Roman"/>
                <w:szCs w:val="21"/>
              </w:rPr>
              <w:t>（</w:t>
            </w:r>
            <w:r w:rsidRPr="00416F2B">
              <w:rPr>
                <w:rFonts w:ascii="Times New Roman" w:eastAsia="宋体" w:hAnsi="Times New Roman" w:cs="Times New Roman"/>
                <w:szCs w:val="21"/>
              </w:rPr>
              <w:t>4</w:t>
            </w:r>
            <w:r w:rsidRPr="00416F2B">
              <w:rPr>
                <w:rFonts w:ascii="Times New Roman" w:eastAsia="宋体" w:hAnsi="Times New Roman" w:cs="Times New Roman"/>
                <w:szCs w:val="21"/>
              </w:rPr>
              <w:t>）固体废物：</w:t>
            </w:r>
          </w:p>
          <w:p w:rsidR="002558D9" w:rsidRPr="00416F2B" w:rsidRDefault="009003A3" w:rsidP="002558D9">
            <w:pPr>
              <w:ind w:firstLineChars="200" w:firstLine="420"/>
              <w:jc w:val="left"/>
              <w:rPr>
                <w:rFonts w:ascii="Times New Roman" w:hAnsi="Times New Roman" w:cs="Times New Roman"/>
                <w:szCs w:val="21"/>
              </w:rPr>
            </w:pPr>
            <w:r w:rsidRPr="009003A3">
              <w:rPr>
                <w:rFonts w:ascii="Times New Roman" w:hAnsi="Times New Roman" w:cs="Times New Roman" w:hint="eastAsia"/>
                <w:szCs w:val="21"/>
              </w:rPr>
              <w:t>生活垃圾集中收集于垃圾分类收集箱后交由环卫部门运至垃圾中转站处理</w:t>
            </w:r>
            <w:r>
              <w:rPr>
                <w:rFonts w:ascii="Times New Roman" w:hAnsi="Times New Roman" w:cs="Times New Roman" w:hint="eastAsia"/>
                <w:szCs w:val="21"/>
              </w:rPr>
              <w:t>；</w:t>
            </w:r>
            <w:r w:rsidRPr="009003A3">
              <w:rPr>
                <w:rFonts w:ascii="Times New Roman" w:hAnsi="Times New Roman" w:cs="Times New Roman" w:hint="eastAsia"/>
                <w:szCs w:val="21"/>
              </w:rPr>
              <w:t>金属碎屑和边角废料</w:t>
            </w:r>
            <w:r w:rsidR="00B30C85">
              <w:rPr>
                <w:rFonts w:ascii="Times New Roman" w:hAnsi="Times New Roman" w:cs="Times New Roman" w:hint="eastAsia"/>
                <w:szCs w:val="21"/>
              </w:rPr>
              <w:t>、除尘器收集粉尘、回收铜片、</w:t>
            </w:r>
            <w:r w:rsidR="00B30C85">
              <w:rPr>
                <w:rFonts w:ascii="Times New Roman" w:hAnsi="Times New Roman" w:cs="Times New Roman" w:hint="eastAsia"/>
                <w:szCs w:val="21"/>
              </w:rPr>
              <w:t>V</w:t>
            </w:r>
            <w:r w:rsidR="00B30C85">
              <w:rPr>
                <w:rFonts w:ascii="Times New Roman" w:hAnsi="Times New Roman" w:cs="Times New Roman" w:hint="eastAsia"/>
                <w:szCs w:val="21"/>
              </w:rPr>
              <w:t>割循环池沉渣</w:t>
            </w:r>
            <w:r w:rsidRPr="009003A3">
              <w:rPr>
                <w:rFonts w:ascii="Times New Roman" w:hAnsi="Times New Roman" w:cs="Times New Roman" w:hint="eastAsia"/>
                <w:szCs w:val="21"/>
              </w:rPr>
              <w:t>集中收集于一般固废暂存间（面积</w:t>
            </w:r>
            <w:r w:rsidRPr="009003A3">
              <w:rPr>
                <w:rFonts w:ascii="Times New Roman" w:hAnsi="Times New Roman" w:cs="Times New Roman" w:hint="eastAsia"/>
                <w:szCs w:val="21"/>
              </w:rPr>
              <w:t>50</w:t>
            </w:r>
            <w:r w:rsidRPr="009003A3">
              <w:rPr>
                <w:rFonts w:ascii="Times New Roman" w:hAnsi="Times New Roman" w:cs="Times New Roman" w:hint="eastAsia"/>
                <w:szCs w:val="21"/>
              </w:rPr>
              <w:t>平方米）外售</w:t>
            </w:r>
            <w:r>
              <w:rPr>
                <w:rFonts w:ascii="Times New Roman" w:hAnsi="Times New Roman" w:cs="Times New Roman" w:hint="eastAsia"/>
                <w:szCs w:val="21"/>
              </w:rPr>
              <w:t>；</w:t>
            </w:r>
            <w:r w:rsidR="00B30C85" w:rsidRPr="00B30C85">
              <w:rPr>
                <w:rFonts w:ascii="Times New Roman" w:hAnsi="Times New Roman" w:cs="Times New Roman" w:hint="eastAsia"/>
                <w:szCs w:val="21"/>
              </w:rPr>
              <w:t>含化学原料的废原料桶</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废网版</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含油墨废抹布</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微蚀废液</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抗氧化废液</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废线路板</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废</w:t>
            </w:r>
            <w:r w:rsidR="00B30C85" w:rsidRPr="00B30C85">
              <w:rPr>
                <w:rFonts w:ascii="Times New Roman" w:hAnsi="Times New Roman" w:cs="Times New Roman" w:hint="eastAsia"/>
                <w:szCs w:val="21"/>
              </w:rPr>
              <w:t>UV</w:t>
            </w:r>
            <w:r w:rsidR="00B30C85" w:rsidRPr="00B30C85">
              <w:rPr>
                <w:rFonts w:ascii="Times New Roman" w:hAnsi="Times New Roman" w:cs="Times New Roman" w:hint="eastAsia"/>
                <w:szCs w:val="21"/>
              </w:rPr>
              <w:t>灯管</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废活性炭</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污水处理站污泥</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废液压油、废机油</w:t>
            </w:r>
            <w:r w:rsidR="00B30C85">
              <w:rPr>
                <w:rFonts w:ascii="Times New Roman" w:hAnsi="Times New Roman" w:cs="Times New Roman" w:hint="eastAsia"/>
                <w:szCs w:val="21"/>
              </w:rPr>
              <w:t>、</w:t>
            </w:r>
            <w:r w:rsidR="00B30C85" w:rsidRPr="00B30C85">
              <w:rPr>
                <w:rFonts w:ascii="Times New Roman" w:hAnsi="Times New Roman" w:cs="Times New Roman" w:hint="eastAsia"/>
                <w:szCs w:val="21"/>
              </w:rPr>
              <w:t>废液压油桶、废机油桶</w:t>
            </w:r>
            <w:r>
              <w:rPr>
                <w:rFonts w:ascii="Times New Roman" w:hAnsi="Times New Roman" w:cs="Times New Roman" w:hint="eastAsia"/>
                <w:szCs w:val="21"/>
              </w:rPr>
              <w:t>均属于危险废物，</w:t>
            </w:r>
            <w:r w:rsidRPr="009003A3">
              <w:rPr>
                <w:rFonts w:ascii="Times New Roman" w:hAnsi="Times New Roman" w:cs="Times New Roman" w:hint="eastAsia"/>
                <w:szCs w:val="21"/>
              </w:rPr>
              <w:t>集中收集至危废暂存间（面积</w:t>
            </w:r>
            <w:r w:rsidR="00B30C85">
              <w:rPr>
                <w:rFonts w:ascii="Times New Roman" w:hAnsi="Times New Roman" w:cs="Times New Roman"/>
                <w:szCs w:val="21"/>
              </w:rPr>
              <w:t>10</w:t>
            </w:r>
            <w:r w:rsidRPr="009003A3">
              <w:rPr>
                <w:rFonts w:ascii="Times New Roman" w:hAnsi="Times New Roman" w:cs="Times New Roman" w:hint="eastAsia"/>
                <w:szCs w:val="21"/>
              </w:rPr>
              <w:t>0m</w:t>
            </w:r>
            <w:r w:rsidRPr="009003A3">
              <w:rPr>
                <w:rFonts w:ascii="Times New Roman" w:hAnsi="Times New Roman" w:cs="Times New Roman" w:hint="eastAsia"/>
                <w:szCs w:val="21"/>
                <w:vertAlign w:val="superscript"/>
              </w:rPr>
              <w:t>2</w:t>
            </w:r>
            <w:r w:rsidRPr="009003A3">
              <w:rPr>
                <w:rFonts w:ascii="Times New Roman" w:hAnsi="Times New Roman" w:cs="Times New Roman" w:hint="eastAsia"/>
                <w:szCs w:val="21"/>
              </w:rPr>
              <w:t>，采取“六防”措施）内，定期交由有危废处理资质单位进行处置</w:t>
            </w:r>
            <w:r w:rsidR="00416F2B" w:rsidRPr="00416F2B">
              <w:rPr>
                <w:rFonts w:ascii="Times New Roman" w:hAnsi="Times New Roman" w:cs="Times New Roman"/>
                <w:szCs w:val="21"/>
              </w:rPr>
              <w:t>。</w:t>
            </w:r>
          </w:p>
          <w:p w:rsidR="002558D9" w:rsidRPr="00416F2B" w:rsidRDefault="002558D9" w:rsidP="002558D9">
            <w:pPr>
              <w:ind w:firstLineChars="200" w:firstLine="420"/>
              <w:jc w:val="left"/>
              <w:rPr>
                <w:rFonts w:ascii="Times New Roman" w:hAnsi="Times New Roman" w:cs="Times New Roman"/>
                <w:szCs w:val="21"/>
              </w:rPr>
            </w:pPr>
            <w:r w:rsidRPr="00416F2B">
              <w:rPr>
                <w:rFonts w:ascii="Times New Roman" w:hAnsi="Times New Roman" w:cs="Times New Roman"/>
                <w:szCs w:val="21"/>
              </w:rPr>
              <w:lastRenderedPageBreak/>
              <w:t>（</w:t>
            </w:r>
            <w:r w:rsidRPr="00416F2B">
              <w:rPr>
                <w:rFonts w:ascii="Times New Roman" w:hAnsi="Times New Roman" w:cs="Times New Roman"/>
                <w:szCs w:val="21"/>
              </w:rPr>
              <w:t>5</w:t>
            </w:r>
            <w:r w:rsidRPr="00416F2B">
              <w:rPr>
                <w:rFonts w:ascii="Times New Roman" w:hAnsi="Times New Roman" w:cs="Times New Roman"/>
                <w:szCs w:val="21"/>
              </w:rPr>
              <w:t>）环境风险</w:t>
            </w:r>
          </w:p>
          <w:p w:rsidR="004F6F92" w:rsidRPr="00416F2B" w:rsidRDefault="00B30C85" w:rsidP="002558D9">
            <w:pPr>
              <w:ind w:firstLineChars="200" w:firstLine="420"/>
              <w:jc w:val="left"/>
              <w:rPr>
                <w:rFonts w:ascii="Times New Roman" w:hAnsi="Times New Roman" w:cs="Times New Roman"/>
                <w:szCs w:val="21"/>
              </w:rPr>
            </w:pPr>
            <w:r w:rsidRPr="00B30C85">
              <w:rPr>
                <w:rFonts w:ascii="Times New Roman" w:hAnsi="Times New Roman" w:cs="Times New Roman" w:hint="eastAsia"/>
                <w:szCs w:val="21"/>
              </w:rPr>
              <w:t>生产车间内</w:t>
            </w:r>
            <w:r w:rsidRPr="00B30C85">
              <w:rPr>
                <w:rFonts w:ascii="Times New Roman" w:hAnsi="Times New Roman" w:cs="Times New Roman" w:hint="eastAsia"/>
                <w:szCs w:val="21"/>
              </w:rPr>
              <w:t>2#</w:t>
            </w:r>
            <w:r w:rsidRPr="00B30C85">
              <w:rPr>
                <w:rFonts w:ascii="Times New Roman" w:hAnsi="Times New Roman" w:cs="Times New Roman" w:hint="eastAsia"/>
                <w:szCs w:val="21"/>
              </w:rPr>
              <w:t>分区辅料仓库按重点防渗区进行防渗，各辅料存储单元周边设置围堰（用于收集各类辅料包装容器破损时泄漏的物料）；蚀刻退膜生产区域地面按重点防渗区进行防渗，每条蚀刻生产线四周设置有围堰（围堰尺寸</w:t>
            </w:r>
            <w:r w:rsidRPr="00B30C85">
              <w:rPr>
                <w:rFonts w:ascii="Times New Roman" w:hAnsi="Times New Roman" w:cs="Times New Roman" w:hint="eastAsia"/>
                <w:szCs w:val="21"/>
              </w:rPr>
              <w:t>18m</w:t>
            </w:r>
            <w:r w:rsidRPr="00B30C85">
              <w:rPr>
                <w:rFonts w:ascii="Times New Roman" w:hAnsi="Times New Roman" w:cs="Times New Roman" w:hint="eastAsia"/>
                <w:szCs w:val="21"/>
              </w:rPr>
              <w:t>×</w:t>
            </w:r>
            <w:r w:rsidRPr="00B30C85">
              <w:rPr>
                <w:rFonts w:ascii="Times New Roman" w:hAnsi="Times New Roman" w:cs="Times New Roman" w:hint="eastAsia"/>
                <w:szCs w:val="21"/>
              </w:rPr>
              <w:t>3m</w:t>
            </w:r>
            <w:r w:rsidRPr="00B30C85">
              <w:rPr>
                <w:rFonts w:ascii="Times New Roman" w:hAnsi="Times New Roman" w:cs="Times New Roman" w:hint="eastAsia"/>
                <w:szCs w:val="21"/>
              </w:rPr>
              <w:t>×</w:t>
            </w:r>
            <w:r w:rsidRPr="00B30C85">
              <w:rPr>
                <w:rFonts w:ascii="Times New Roman" w:hAnsi="Times New Roman" w:cs="Times New Roman" w:hint="eastAsia"/>
                <w:szCs w:val="21"/>
              </w:rPr>
              <w:t>0.2m</w:t>
            </w:r>
            <w:r w:rsidRPr="00B30C85">
              <w:rPr>
                <w:rFonts w:ascii="Times New Roman" w:hAnsi="Times New Roman" w:cs="Times New Roman" w:hint="eastAsia"/>
                <w:szCs w:val="21"/>
              </w:rPr>
              <w:t>）；</w:t>
            </w:r>
            <w:r w:rsidRPr="00B30C85">
              <w:rPr>
                <w:rFonts w:ascii="Times New Roman" w:hAnsi="Times New Roman" w:cs="Times New Roman" w:hint="eastAsia"/>
                <w:szCs w:val="21"/>
              </w:rPr>
              <w:t>OSP</w:t>
            </w:r>
            <w:r w:rsidRPr="00B30C85">
              <w:rPr>
                <w:rFonts w:ascii="Times New Roman" w:hAnsi="Times New Roman" w:cs="Times New Roman" w:hint="eastAsia"/>
                <w:szCs w:val="21"/>
              </w:rPr>
              <w:t>抗氧化生产区域地面按重点防渗区进行防渗，抗氧化生产线四周设置有围堰（单个围堰尺寸</w:t>
            </w:r>
            <w:r w:rsidRPr="00B30C85">
              <w:rPr>
                <w:rFonts w:ascii="Times New Roman" w:hAnsi="Times New Roman" w:cs="Times New Roman" w:hint="eastAsia"/>
                <w:szCs w:val="21"/>
              </w:rPr>
              <w:t>26m</w:t>
            </w:r>
            <w:r w:rsidRPr="00B30C85">
              <w:rPr>
                <w:rFonts w:ascii="Times New Roman" w:hAnsi="Times New Roman" w:cs="Times New Roman" w:hint="eastAsia"/>
                <w:szCs w:val="21"/>
              </w:rPr>
              <w:t>×</w:t>
            </w:r>
            <w:r w:rsidRPr="00B30C85">
              <w:rPr>
                <w:rFonts w:ascii="Times New Roman" w:hAnsi="Times New Roman" w:cs="Times New Roman" w:hint="eastAsia"/>
                <w:szCs w:val="21"/>
              </w:rPr>
              <w:t>7m</w:t>
            </w:r>
            <w:r w:rsidRPr="00B30C85">
              <w:rPr>
                <w:rFonts w:ascii="Times New Roman" w:hAnsi="Times New Roman" w:cs="Times New Roman" w:hint="eastAsia"/>
                <w:szCs w:val="21"/>
              </w:rPr>
              <w:t>×</w:t>
            </w:r>
            <w:r w:rsidRPr="00B30C85">
              <w:rPr>
                <w:rFonts w:ascii="Times New Roman" w:hAnsi="Times New Roman" w:cs="Times New Roman" w:hint="eastAsia"/>
                <w:szCs w:val="21"/>
              </w:rPr>
              <w:t>0.2m</w:t>
            </w:r>
            <w:r w:rsidRPr="00B30C85">
              <w:rPr>
                <w:rFonts w:ascii="Times New Roman" w:hAnsi="Times New Roman" w:cs="Times New Roman" w:hint="eastAsia"/>
                <w:szCs w:val="21"/>
              </w:rPr>
              <w:t>）；厂区内设置</w:t>
            </w:r>
            <w:r w:rsidRPr="00B30C85">
              <w:rPr>
                <w:rFonts w:ascii="Times New Roman" w:hAnsi="Times New Roman" w:cs="Times New Roman" w:hint="eastAsia"/>
                <w:szCs w:val="21"/>
              </w:rPr>
              <w:t>1</w:t>
            </w:r>
            <w:r w:rsidRPr="00B30C85">
              <w:rPr>
                <w:rFonts w:ascii="Times New Roman" w:hAnsi="Times New Roman" w:cs="Times New Roman" w:hint="eastAsia"/>
                <w:szCs w:val="21"/>
              </w:rPr>
              <w:t>处事故池（容积</w:t>
            </w:r>
            <w:r w:rsidRPr="00B30C85">
              <w:rPr>
                <w:rFonts w:ascii="Times New Roman" w:hAnsi="Times New Roman" w:cs="Times New Roman" w:hint="eastAsia"/>
                <w:szCs w:val="21"/>
              </w:rPr>
              <w:t>150m</w:t>
            </w:r>
            <w:r w:rsidRPr="00B30C85">
              <w:rPr>
                <w:rFonts w:ascii="Times New Roman" w:hAnsi="Times New Roman" w:cs="Times New Roman" w:hint="eastAsia"/>
                <w:szCs w:val="21"/>
                <w:vertAlign w:val="superscript"/>
              </w:rPr>
              <w:t>3</w:t>
            </w:r>
            <w:r w:rsidRPr="00B30C85">
              <w:rPr>
                <w:rFonts w:ascii="Times New Roman" w:hAnsi="Times New Roman" w:cs="Times New Roman" w:hint="eastAsia"/>
                <w:szCs w:val="21"/>
              </w:rPr>
              <w:t>，与消防废水收集池合建）；采取环境风险三级防控体系，加强安全管理、做好突发环境事件应急预案</w:t>
            </w:r>
            <w:r w:rsidR="003B7B4B" w:rsidRPr="00416F2B">
              <w:rPr>
                <w:rFonts w:ascii="Times New Roman" w:hAnsi="Times New Roman" w:cs="Times New Roman"/>
                <w:szCs w:val="21"/>
              </w:rPr>
              <w:t>。</w:t>
            </w:r>
          </w:p>
        </w:tc>
      </w:tr>
    </w:tbl>
    <w:p w:rsidR="004F6F92" w:rsidRPr="00416F2B" w:rsidRDefault="004F6F92">
      <w:pPr>
        <w:rPr>
          <w:rFonts w:ascii="Times New Roman" w:hAnsi="Times New Roman" w:cs="Times New Roman"/>
        </w:rPr>
      </w:pPr>
    </w:p>
    <w:sectPr w:rsidR="004F6F92" w:rsidRPr="00416F2B">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DDA" w:rsidRDefault="002D2DDA" w:rsidP="00BF4B57">
      <w:r>
        <w:separator/>
      </w:r>
    </w:p>
  </w:endnote>
  <w:endnote w:type="continuationSeparator" w:id="0">
    <w:p w:rsidR="002D2DDA" w:rsidRDefault="002D2DDA"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DDA" w:rsidRDefault="002D2DDA" w:rsidP="00BF4B57">
      <w:r>
        <w:separator/>
      </w:r>
    </w:p>
  </w:footnote>
  <w:footnote w:type="continuationSeparator" w:id="0">
    <w:p w:rsidR="002D2DDA" w:rsidRDefault="002D2DDA" w:rsidP="00BF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5B0D57"/>
    <w:rsid w:val="0000146B"/>
    <w:rsid w:val="000258D8"/>
    <w:rsid w:val="000318CA"/>
    <w:rsid w:val="00035AA7"/>
    <w:rsid w:val="00050831"/>
    <w:rsid w:val="000714DA"/>
    <w:rsid w:val="000819F7"/>
    <w:rsid w:val="000C395F"/>
    <w:rsid w:val="000D48E2"/>
    <w:rsid w:val="000D4B2B"/>
    <w:rsid w:val="000F171C"/>
    <w:rsid w:val="001208B1"/>
    <w:rsid w:val="001428BE"/>
    <w:rsid w:val="0015630B"/>
    <w:rsid w:val="00202EF0"/>
    <w:rsid w:val="002234A6"/>
    <w:rsid w:val="002558D9"/>
    <w:rsid w:val="00263476"/>
    <w:rsid w:val="0027236D"/>
    <w:rsid w:val="00297459"/>
    <w:rsid w:val="002C0609"/>
    <w:rsid w:val="002D255D"/>
    <w:rsid w:val="002D2DDA"/>
    <w:rsid w:val="002D5C69"/>
    <w:rsid w:val="002F1852"/>
    <w:rsid w:val="0030105C"/>
    <w:rsid w:val="0033375C"/>
    <w:rsid w:val="003463D9"/>
    <w:rsid w:val="0036691B"/>
    <w:rsid w:val="0038674A"/>
    <w:rsid w:val="003923D8"/>
    <w:rsid w:val="003B581A"/>
    <w:rsid w:val="003B7B4B"/>
    <w:rsid w:val="003D187D"/>
    <w:rsid w:val="003E6B7D"/>
    <w:rsid w:val="00416F2B"/>
    <w:rsid w:val="00430897"/>
    <w:rsid w:val="00446175"/>
    <w:rsid w:val="00462116"/>
    <w:rsid w:val="00483795"/>
    <w:rsid w:val="004F49C2"/>
    <w:rsid w:val="004F6F9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B254C"/>
    <w:rsid w:val="006C230B"/>
    <w:rsid w:val="006C65B7"/>
    <w:rsid w:val="006D43A1"/>
    <w:rsid w:val="006F6C89"/>
    <w:rsid w:val="00772558"/>
    <w:rsid w:val="00797E85"/>
    <w:rsid w:val="007D59F8"/>
    <w:rsid w:val="00803B3A"/>
    <w:rsid w:val="00825907"/>
    <w:rsid w:val="00844128"/>
    <w:rsid w:val="008A144F"/>
    <w:rsid w:val="008A5865"/>
    <w:rsid w:val="008C7FBF"/>
    <w:rsid w:val="009003A3"/>
    <w:rsid w:val="009218EB"/>
    <w:rsid w:val="009443A6"/>
    <w:rsid w:val="009C4E45"/>
    <w:rsid w:val="009D0C8B"/>
    <w:rsid w:val="009D2C25"/>
    <w:rsid w:val="00A42ABB"/>
    <w:rsid w:val="00AA5A4D"/>
    <w:rsid w:val="00B13ACB"/>
    <w:rsid w:val="00B30C85"/>
    <w:rsid w:val="00B749B6"/>
    <w:rsid w:val="00B95BE4"/>
    <w:rsid w:val="00BA0C1B"/>
    <w:rsid w:val="00BC4414"/>
    <w:rsid w:val="00BD0541"/>
    <w:rsid w:val="00BD293C"/>
    <w:rsid w:val="00BF4B57"/>
    <w:rsid w:val="00C1568E"/>
    <w:rsid w:val="00C231FA"/>
    <w:rsid w:val="00C3311E"/>
    <w:rsid w:val="00C40BDE"/>
    <w:rsid w:val="00C62004"/>
    <w:rsid w:val="00C70D39"/>
    <w:rsid w:val="00CD2723"/>
    <w:rsid w:val="00CD3119"/>
    <w:rsid w:val="00CD4DE6"/>
    <w:rsid w:val="00D24D41"/>
    <w:rsid w:val="00D341D0"/>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B2258"/>
    <w:rsid w:val="00EC3E56"/>
    <w:rsid w:val="00EE0C03"/>
    <w:rsid w:val="00F10A3A"/>
    <w:rsid w:val="00F15138"/>
    <w:rsid w:val="00F75784"/>
    <w:rsid w:val="00F85556"/>
    <w:rsid w:val="00F90E79"/>
    <w:rsid w:val="00F95E99"/>
    <w:rsid w:val="00F97AEF"/>
    <w:rsid w:val="00FB3831"/>
    <w:rsid w:val="00FE0A23"/>
    <w:rsid w:val="00FE2B69"/>
    <w:rsid w:val="00FF6D11"/>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51CE7"/>
  <w15:docId w15:val="{C864D4ED-C547-4E4F-931A-B5502549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 w:type="character" w:customStyle="1" w:styleId="Char">
    <w:name w:val="书正文 Char"/>
    <w:link w:val="a9"/>
    <w:qFormat/>
    <w:rPr>
      <w:rFonts w:hAnsi="宋体"/>
      <w:kern w:val="2"/>
      <w:sz w:val="24"/>
      <w:szCs w:val="28"/>
    </w:rPr>
  </w:style>
  <w:style w:type="paragraph" w:customStyle="1" w:styleId="a9">
    <w:name w:val="书正文"/>
    <w:basedOn w:val="a"/>
    <w:link w:val="Char"/>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371</Words>
  <Characters>2116</Characters>
  <Application>Microsoft Office Word</Application>
  <DocSecurity>0</DocSecurity>
  <Lines>17</Lines>
  <Paragraphs>4</Paragraphs>
  <ScaleCrop>false</ScaleCrop>
  <Company>微软中国</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49654</cp:lastModifiedBy>
  <cp:revision>39</cp:revision>
  <cp:lastPrinted>2019-06-18T00:32:00Z</cp:lastPrinted>
  <dcterms:created xsi:type="dcterms:W3CDTF">2020-07-07T02:42:00Z</dcterms:created>
  <dcterms:modified xsi:type="dcterms:W3CDTF">2024-11-21T01:56:00Z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