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89B" w:rsidRDefault="00A1689B" w:rsidP="00A1689B">
      <w:pPr>
        <w:widowControl/>
        <w:spacing w:before="100" w:beforeAutospacing="1" w:after="100" w:afterAutospacing="1" w:line="240" w:lineRule="atLeast"/>
        <w:jc w:val="center"/>
        <w:rPr>
          <w:rFonts w:ascii="宋体" w:hAnsi="宋体" w:cs="宋体"/>
          <w:b/>
          <w:bCs/>
          <w:color w:val="000000"/>
          <w:kern w:val="0"/>
          <w:szCs w:val="21"/>
        </w:rPr>
      </w:pPr>
      <w:r>
        <w:rPr>
          <w:rFonts w:ascii="宋体" w:hAnsi="宋体" w:cs="宋体" w:hint="eastAsia"/>
          <w:b/>
          <w:bCs/>
          <w:color w:val="000000"/>
          <w:kern w:val="0"/>
          <w:szCs w:val="21"/>
        </w:rPr>
        <w:t>拟审批的建设项目环境影响报告表</w:t>
      </w:r>
    </w:p>
    <w:tbl>
      <w:tblPr>
        <w:tblW w:w="50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1149"/>
        <w:gridCol w:w="1200"/>
        <w:gridCol w:w="808"/>
        <w:gridCol w:w="1076"/>
        <w:gridCol w:w="2279"/>
        <w:gridCol w:w="7415"/>
      </w:tblGrid>
      <w:tr w:rsidR="00A1689B" w:rsidRPr="00A1689B" w:rsidTr="00D72884">
        <w:trPr>
          <w:trHeight w:val="596"/>
          <w:jc w:val="center"/>
        </w:trPr>
        <w:tc>
          <w:tcPr>
            <w:tcW w:w="171" w:type="pct"/>
            <w:tcBorders>
              <w:tl2br w:val="nil"/>
              <w:tr2bl w:val="nil"/>
            </w:tcBorders>
            <w:shd w:val="clear" w:color="auto" w:fill="auto"/>
            <w:vAlign w:val="center"/>
          </w:tcPr>
          <w:p w:rsidR="00A1689B" w:rsidRPr="00A1689B" w:rsidRDefault="00A1689B" w:rsidP="00D72884">
            <w:pPr>
              <w:spacing w:line="340" w:lineRule="exact"/>
              <w:jc w:val="center"/>
              <w:rPr>
                <w:szCs w:val="21"/>
              </w:rPr>
            </w:pPr>
            <w:bookmarkStart w:id="0" w:name="RANGE!A1:F2"/>
            <w:r w:rsidRPr="00A1689B">
              <w:rPr>
                <w:szCs w:val="21"/>
              </w:rPr>
              <w:t>序号</w:t>
            </w:r>
          </w:p>
        </w:tc>
        <w:tc>
          <w:tcPr>
            <w:tcW w:w="398" w:type="pct"/>
            <w:tcBorders>
              <w:tl2br w:val="nil"/>
              <w:tr2bl w:val="nil"/>
            </w:tcBorders>
            <w:shd w:val="clear" w:color="auto" w:fill="auto"/>
            <w:vAlign w:val="center"/>
          </w:tcPr>
          <w:p w:rsidR="00A1689B" w:rsidRPr="00A1689B" w:rsidRDefault="00A1689B" w:rsidP="00D72884">
            <w:pPr>
              <w:spacing w:line="340" w:lineRule="exact"/>
              <w:jc w:val="center"/>
              <w:rPr>
                <w:szCs w:val="21"/>
              </w:rPr>
            </w:pPr>
            <w:r w:rsidRPr="00A1689B">
              <w:rPr>
                <w:szCs w:val="21"/>
              </w:rPr>
              <w:t>项目名称</w:t>
            </w:r>
            <w:bookmarkEnd w:id="0"/>
          </w:p>
        </w:tc>
        <w:tc>
          <w:tcPr>
            <w:tcW w:w="416" w:type="pct"/>
            <w:tcBorders>
              <w:tl2br w:val="nil"/>
              <w:tr2bl w:val="nil"/>
            </w:tcBorders>
            <w:shd w:val="clear" w:color="auto" w:fill="auto"/>
            <w:vAlign w:val="center"/>
          </w:tcPr>
          <w:p w:rsidR="00A1689B" w:rsidRPr="00A1689B" w:rsidRDefault="00A1689B" w:rsidP="00D72884">
            <w:pPr>
              <w:spacing w:line="340" w:lineRule="exact"/>
              <w:jc w:val="center"/>
              <w:rPr>
                <w:szCs w:val="21"/>
              </w:rPr>
            </w:pPr>
            <w:r w:rsidRPr="00A1689B">
              <w:rPr>
                <w:szCs w:val="21"/>
              </w:rPr>
              <w:t>建设地点</w:t>
            </w:r>
          </w:p>
        </w:tc>
        <w:tc>
          <w:tcPr>
            <w:tcW w:w="280" w:type="pct"/>
            <w:tcBorders>
              <w:tl2br w:val="nil"/>
              <w:tr2bl w:val="nil"/>
            </w:tcBorders>
            <w:shd w:val="clear" w:color="auto" w:fill="auto"/>
            <w:vAlign w:val="center"/>
          </w:tcPr>
          <w:p w:rsidR="00A1689B" w:rsidRPr="00A1689B" w:rsidRDefault="00A1689B" w:rsidP="00D72884">
            <w:pPr>
              <w:spacing w:line="340" w:lineRule="exact"/>
              <w:jc w:val="center"/>
              <w:rPr>
                <w:szCs w:val="21"/>
              </w:rPr>
            </w:pPr>
            <w:r w:rsidRPr="00A1689B">
              <w:rPr>
                <w:szCs w:val="21"/>
              </w:rPr>
              <w:t>建设单位</w:t>
            </w:r>
          </w:p>
        </w:tc>
        <w:tc>
          <w:tcPr>
            <w:tcW w:w="373" w:type="pct"/>
            <w:tcBorders>
              <w:tl2br w:val="nil"/>
              <w:tr2bl w:val="nil"/>
            </w:tcBorders>
            <w:shd w:val="clear" w:color="auto" w:fill="auto"/>
            <w:vAlign w:val="center"/>
          </w:tcPr>
          <w:p w:rsidR="00A1689B" w:rsidRPr="00A1689B" w:rsidRDefault="00A1689B" w:rsidP="00D72884">
            <w:pPr>
              <w:spacing w:line="340" w:lineRule="exact"/>
              <w:jc w:val="center"/>
              <w:rPr>
                <w:szCs w:val="21"/>
              </w:rPr>
            </w:pPr>
            <w:r w:rsidRPr="00A1689B">
              <w:rPr>
                <w:szCs w:val="21"/>
              </w:rPr>
              <w:t>环境影响评价机构</w:t>
            </w:r>
          </w:p>
        </w:tc>
        <w:tc>
          <w:tcPr>
            <w:tcW w:w="790" w:type="pct"/>
            <w:tcBorders>
              <w:tl2br w:val="nil"/>
              <w:tr2bl w:val="nil"/>
            </w:tcBorders>
            <w:shd w:val="clear" w:color="auto" w:fill="auto"/>
            <w:vAlign w:val="center"/>
          </w:tcPr>
          <w:p w:rsidR="00A1689B" w:rsidRPr="00A1689B" w:rsidRDefault="00A1689B" w:rsidP="00D72884">
            <w:pPr>
              <w:spacing w:line="340" w:lineRule="exact"/>
              <w:jc w:val="center"/>
              <w:rPr>
                <w:szCs w:val="21"/>
              </w:rPr>
            </w:pPr>
            <w:r w:rsidRPr="00A1689B">
              <w:rPr>
                <w:szCs w:val="21"/>
              </w:rPr>
              <w:t>建设项目概况</w:t>
            </w:r>
          </w:p>
        </w:tc>
        <w:tc>
          <w:tcPr>
            <w:tcW w:w="2569" w:type="pct"/>
            <w:tcBorders>
              <w:tl2br w:val="nil"/>
              <w:tr2bl w:val="nil"/>
            </w:tcBorders>
            <w:shd w:val="clear" w:color="auto" w:fill="auto"/>
            <w:vAlign w:val="center"/>
          </w:tcPr>
          <w:p w:rsidR="00A1689B" w:rsidRPr="00A1689B" w:rsidRDefault="00A1689B" w:rsidP="00D72884">
            <w:pPr>
              <w:spacing w:line="340" w:lineRule="exact"/>
              <w:jc w:val="center"/>
              <w:rPr>
                <w:szCs w:val="21"/>
              </w:rPr>
            </w:pPr>
            <w:r w:rsidRPr="00A1689B">
              <w:rPr>
                <w:szCs w:val="21"/>
              </w:rPr>
              <w:t>主要环境影响及预防或减轻不良环境影响的对策和措施</w:t>
            </w:r>
          </w:p>
        </w:tc>
      </w:tr>
      <w:tr w:rsidR="00A1689B" w:rsidRPr="00A1689B" w:rsidTr="00D72884">
        <w:trPr>
          <w:trHeight w:val="1539"/>
          <w:jc w:val="center"/>
        </w:trPr>
        <w:tc>
          <w:tcPr>
            <w:tcW w:w="171" w:type="pct"/>
            <w:tcBorders>
              <w:tl2br w:val="nil"/>
              <w:tr2bl w:val="nil"/>
            </w:tcBorders>
            <w:shd w:val="clear" w:color="auto" w:fill="auto"/>
            <w:vAlign w:val="center"/>
          </w:tcPr>
          <w:p w:rsidR="00A1689B" w:rsidRPr="00A1689B" w:rsidRDefault="00A1689B" w:rsidP="00D72884">
            <w:pPr>
              <w:spacing w:line="340" w:lineRule="exact"/>
              <w:jc w:val="center"/>
              <w:rPr>
                <w:rFonts w:eastAsiaTheme="minorEastAsia"/>
                <w:szCs w:val="21"/>
              </w:rPr>
            </w:pPr>
            <w:r w:rsidRPr="00A1689B">
              <w:rPr>
                <w:rFonts w:eastAsiaTheme="minorEastAsia"/>
                <w:szCs w:val="21"/>
              </w:rPr>
              <w:t>1</w:t>
            </w:r>
          </w:p>
        </w:tc>
        <w:tc>
          <w:tcPr>
            <w:tcW w:w="398" w:type="pct"/>
            <w:tcBorders>
              <w:tl2br w:val="nil"/>
              <w:tr2bl w:val="nil"/>
            </w:tcBorders>
            <w:shd w:val="clear" w:color="auto" w:fill="auto"/>
            <w:vAlign w:val="center"/>
          </w:tcPr>
          <w:p w:rsidR="00A1689B" w:rsidRPr="00A1689B" w:rsidRDefault="00A94CDC" w:rsidP="00D72884">
            <w:pPr>
              <w:spacing w:line="300" w:lineRule="exact"/>
              <w:jc w:val="center"/>
              <w:rPr>
                <w:szCs w:val="21"/>
              </w:rPr>
            </w:pPr>
            <w:r w:rsidRPr="00A94CDC">
              <w:rPr>
                <w:rFonts w:hint="eastAsia"/>
                <w:color w:val="000000"/>
                <w:szCs w:val="21"/>
              </w:rPr>
              <w:t>唐河县鸿祥明胶有限公司生物质锅炉扩建项目</w:t>
            </w:r>
          </w:p>
        </w:tc>
        <w:tc>
          <w:tcPr>
            <w:tcW w:w="416" w:type="pct"/>
            <w:tcBorders>
              <w:tl2br w:val="nil"/>
              <w:tr2bl w:val="nil"/>
            </w:tcBorders>
            <w:shd w:val="clear" w:color="auto" w:fill="auto"/>
            <w:vAlign w:val="center"/>
          </w:tcPr>
          <w:p w:rsidR="00A1689B" w:rsidRPr="00A1689B" w:rsidRDefault="00A94CDC" w:rsidP="00A1689B">
            <w:pPr>
              <w:spacing w:line="300" w:lineRule="exact"/>
              <w:jc w:val="center"/>
              <w:rPr>
                <w:szCs w:val="21"/>
              </w:rPr>
            </w:pPr>
            <w:r w:rsidRPr="00A94CDC">
              <w:rPr>
                <w:rFonts w:hint="eastAsia"/>
                <w:szCs w:val="21"/>
              </w:rPr>
              <w:t>南阳市唐河县古城乡井楼</w:t>
            </w:r>
          </w:p>
        </w:tc>
        <w:tc>
          <w:tcPr>
            <w:tcW w:w="280" w:type="pct"/>
            <w:tcBorders>
              <w:tl2br w:val="nil"/>
              <w:tr2bl w:val="nil"/>
            </w:tcBorders>
            <w:shd w:val="clear" w:color="auto" w:fill="auto"/>
            <w:vAlign w:val="center"/>
          </w:tcPr>
          <w:p w:rsidR="00A1689B" w:rsidRPr="00A1689B" w:rsidRDefault="00A94CDC" w:rsidP="00A94CDC">
            <w:pPr>
              <w:widowControl/>
              <w:spacing w:before="100" w:beforeAutospacing="1" w:after="100" w:afterAutospacing="1" w:line="240" w:lineRule="atLeast"/>
              <w:jc w:val="center"/>
              <w:rPr>
                <w:b/>
                <w:bCs/>
                <w:color w:val="000000"/>
                <w:kern w:val="0"/>
                <w:szCs w:val="21"/>
              </w:rPr>
            </w:pPr>
            <w:r w:rsidRPr="00A94CDC">
              <w:rPr>
                <w:rFonts w:hint="eastAsia"/>
                <w:color w:val="000000"/>
                <w:szCs w:val="21"/>
              </w:rPr>
              <w:t>唐河县鸿祥明胶有限公司</w:t>
            </w:r>
          </w:p>
        </w:tc>
        <w:tc>
          <w:tcPr>
            <w:tcW w:w="373" w:type="pct"/>
            <w:tcBorders>
              <w:tl2br w:val="nil"/>
              <w:tr2bl w:val="nil"/>
            </w:tcBorders>
            <w:shd w:val="clear" w:color="auto" w:fill="auto"/>
            <w:vAlign w:val="center"/>
          </w:tcPr>
          <w:p w:rsidR="00A1689B" w:rsidRPr="00A1689B" w:rsidRDefault="00A1689B" w:rsidP="00D72884">
            <w:pPr>
              <w:spacing w:line="300" w:lineRule="exact"/>
              <w:jc w:val="center"/>
              <w:rPr>
                <w:szCs w:val="21"/>
              </w:rPr>
            </w:pPr>
            <w:r w:rsidRPr="00A1689B">
              <w:rPr>
                <w:szCs w:val="21"/>
              </w:rPr>
              <w:t>河南洁达环保投资有限公司</w:t>
            </w:r>
          </w:p>
        </w:tc>
        <w:tc>
          <w:tcPr>
            <w:tcW w:w="790" w:type="pct"/>
            <w:tcBorders>
              <w:tl2br w:val="nil"/>
              <w:tr2bl w:val="nil"/>
            </w:tcBorders>
            <w:shd w:val="clear" w:color="auto" w:fill="auto"/>
            <w:vAlign w:val="center"/>
          </w:tcPr>
          <w:p w:rsidR="00A1689B" w:rsidRPr="00A1689B" w:rsidRDefault="00A1689B" w:rsidP="00A94CDC">
            <w:pPr>
              <w:spacing w:line="300" w:lineRule="exact"/>
              <w:jc w:val="center"/>
              <w:rPr>
                <w:szCs w:val="21"/>
              </w:rPr>
            </w:pPr>
            <w:r w:rsidRPr="00A1689B">
              <w:rPr>
                <w:szCs w:val="21"/>
              </w:rPr>
              <w:t>总投资</w:t>
            </w:r>
            <w:r w:rsidRPr="00A1689B">
              <w:rPr>
                <w:szCs w:val="21"/>
              </w:rPr>
              <w:t>50</w:t>
            </w:r>
            <w:r w:rsidRPr="00A1689B">
              <w:rPr>
                <w:szCs w:val="21"/>
              </w:rPr>
              <w:t>万元，</w:t>
            </w:r>
            <w:r w:rsidR="00A94CDC" w:rsidRPr="00A94CDC">
              <w:rPr>
                <w:rFonts w:hint="eastAsia"/>
                <w:szCs w:val="21"/>
              </w:rPr>
              <w:t>因</w:t>
            </w:r>
            <w:r w:rsidR="00A94CDC">
              <w:rPr>
                <w:rFonts w:hint="eastAsia"/>
                <w:szCs w:val="21"/>
              </w:rPr>
              <w:t>冬季天然气供应不足，因此本项目拟</w:t>
            </w:r>
            <w:r w:rsidR="00A94CDC" w:rsidRPr="00A94CDC">
              <w:rPr>
                <w:rFonts w:hint="eastAsia"/>
                <w:szCs w:val="21"/>
              </w:rPr>
              <w:t>建设</w:t>
            </w:r>
            <w:r w:rsidR="00A94CDC" w:rsidRPr="00A94CDC">
              <w:rPr>
                <w:rFonts w:hint="eastAsia"/>
                <w:szCs w:val="21"/>
              </w:rPr>
              <w:t xml:space="preserve"> </w:t>
            </w:r>
            <w:r w:rsidR="00A94CDC" w:rsidRPr="00A94CDC">
              <w:rPr>
                <w:szCs w:val="21"/>
              </w:rPr>
              <w:t xml:space="preserve">1 </w:t>
            </w:r>
            <w:r w:rsidR="00A94CDC" w:rsidRPr="00A94CDC">
              <w:rPr>
                <w:rFonts w:hint="eastAsia"/>
                <w:szCs w:val="21"/>
              </w:rPr>
              <w:t>台</w:t>
            </w:r>
            <w:r w:rsidR="00A94CDC" w:rsidRPr="00A94CDC">
              <w:rPr>
                <w:rFonts w:hint="eastAsia"/>
                <w:szCs w:val="21"/>
              </w:rPr>
              <w:t xml:space="preserve"> </w:t>
            </w:r>
            <w:r w:rsidR="00A94CDC" w:rsidRPr="00A94CDC">
              <w:rPr>
                <w:szCs w:val="21"/>
              </w:rPr>
              <w:t xml:space="preserve">3.5t/h </w:t>
            </w:r>
            <w:r w:rsidR="00A94CDC" w:rsidRPr="00A94CDC">
              <w:rPr>
                <w:rFonts w:hint="eastAsia"/>
                <w:szCs w:val="21"/>
              </w:rPr>
              <w:t>成型生物质专用蒸汽锅炉进行冬季供热，以成型生物质燃料作为燃料，与厂区现有</w:t>
            </w:r>
            <w:r w:rsidR="00A94CDC" w:rsidRPr="00A94CDC">
              <w:rPr>
                <w:rFonts w:hint="eastAsia"/>
                <w:szCs w:val="21"/>
              </w:rPr>
              <w:t xml:space="preserve"> </w:t>
            </w:r>
            <w:r w:rsidR="00A94CDC" w:rsidRPr="00A94CDC">
              <w:rPr>
                <w:szCs w:val="21"/>
              </w:rPr>
              <w:t xml:space="preserve">1 </w:t>
            </w:r>
            <w:r w:rsidR="00A94CDC" w:rsidRPr="00A94CDC">
              <w:rPr>
                <w:rFonts w:hint="eastAsia"/>
                <w:szCs w:val="21"/>
              </w:rPr>
              <w:t>台</w:t>
            </w:r>
            <w:r w:rsidR="00A94CDC" w:rsidRPr="00A94CDC">
              <w:rPr>
                <w:rFonts w:hint="eastAsia"/>
                <w:szCs w:val="21"/>
              </w:rPr>
              <w:t xml:space="preserve"> </w:t>
            </w:r>
            <w:r w:rsidR="00A94CDC" w:rsidRPr="00A94CDC">
              <w:rPr>
                <w:szCs w:val="21"/>
              </w:rPr>
              <w:t xml:space="preserve">3.5t/h </w:t>
            </w:r>
            <w:r w:rsidR="00A94CDC" w:rsidRPr="00A94CDC">
              <w:rPr>
                <w:rFonts w:hint="eastAsia"/>
                <w:szCs w:val="21"/>
              </w:rPr>
              <w:t>天然气蒸汽锅炉交替使用，本工程建设前后，企业工业皮胶的生产工艺、规模、时间等均不发生变化，全厂供热规模不变。</w:t>
            </w:r>
          </w:p>
        </w:tc>
        <w:tc>
          <w:tcPr>
            <w:tcW w:w="2569" w:type="pct"/>
            <w:tcBorders>
              <w:tl2br w:val="nil"/>
              <w:tr2bl w:val="nil"/>
            </w:tcBorders>
            <w:shd w:val="clear" w:color="auto" w:fill="auto"/>
            <w:vAlign w:val="center"/>
          </w:tcPr>
          <w:p w:rsidR="00A1689B" w:rsidRPr="00A1689B" w:rsidRDefault="00A1689B" w:rsidP="00D72884">
            <w:pPr>
              <w:spacing w:line="300" w:lineRule="exact"/>
              <w:jc w:val="left"/>
              <w:rPr>
                <w:color w:val="000000"/>
                <w:szCs w:val="21"/>
              </w:rPr>
            </w:pPr>
            <w:r w:rsidRPr="00A1689B">
              <w:rPr>
                <w:color w:val="000000"/>
                <w:szCs w:val="21"/>
              </w:rPr>
              <w:t>大气污染防治措施：</w:t>
            </w:r>
          </w:p>
          <w:p w:rsidR="00A1689B" w:rsidRPr="00A1689B" w:rsidRDefault="00A94CDC" w:rsidP="00A1689B">
            <w:pPr>
              <w:spacing w:line="300" w:lineRule="exact"/>
              <w:ind w:firstLineChars="200" w:firstLine="420"/>
              <w:jc w:val="left"/>
              <w:rPr>
                <w:szCs w:val="21"/>
              </w:rPr>
            </w:pPr>
            <w:r>
              <w:rPr>
                <w:szCs w:val="21"/>
              </w:rPr>
              <w:t>废气主要为</w:t>
            </w:r>
            <w:r w:rsidRPr="00A94CDC">
              <w:rPr>
                <w:szCs w:val="21"/>
              </w:rPr>
              <w:t>生物质</w:t>
            </w:r>
            <w:r w:rsidRPr="00A94CDC">
              <w:rPr>
                <w:rFonts w:hint="eastAsia"/>
                <w:szCs w:val="21"/>
              </w:rPr>
              <w:t>上料</w:t>
            </w:r>
            <w:r w:rsidRPr="00A94CDC">
              <w:rPr>
                <w:szCs w:val="21"/>
              </w:rPr>
              <w:t>废气及锅炉废气</w:t>
            </w:r>
            <w:r w:rsidRPr="00A94CDC">
              <w:rPr>
                <w:rFonts w:hint="eastAsia"/>
                <w:szCs w:val="21"/>
              </w:rPr>
              <w:t>。</w:t>
            </w:r>
            <w:r w:rsidR="00A1689B" w:rsidRPr="00A1689B">
              <w:rPr>
                <w:szCs w:val="21"/>
              </w:rPr>
              <w:t>。</w:t>
            </w:r>
          </w:p>
          <w:p w:rsidR="00A1689B" w:rsidRPr="00A1689B" w:rsidRDefault="00A1689B" w:rsidP="00A94CDC">
            <w:pPr>
              <w:spacing w:line="300" w:lineRule="exact"/>
              <w:ind w:firstLineChars="200" w:firstLine="420"/>
              <w:jc w:val="left"/>
              <w:rPr>
                <w:szCs w:val="21"/>
              </w:rPr>
            </w:pPr>
            <w:r w:rsidRPr="00A1689B">
              <w:rPr>
                <w:szCs w:val="21"/>
              </w:rPr>
              <w:t>项目</w:t>
            </w:r>
            <w:r w:rsidR="00A94CDC" w:rsidRPr="00A94CDC">
              <w:rPr>
                <w:rFonts w:hint="eastAsia"/>
                <w:szCs w:val="21"/>
              </w:rPr>
              <w:t>生物质燃料上料废气经集气罩收集后引至锅炉废气的高效覆膜布袋除尘器处理后通过</w:t>
            </w:r>
            <w:r w:rsidR="00A94CDC" w:rsidRPr="00A94CDC">
              <w:rPr>
                <w:rFonts w:hint="eastAsia"/>
                <w:szCs w:val="21"/>
              </w:rPr>
              <w:t>1</w:t>
            </w:r>
            <w:r w:rsidR="00A94CDC" w:rsidRPr="00A94CDC">
              <w:rPr>
                <w:rFonts w:hint="eastAsia"/>
                <w:szCs w:val="21"/>
              </w:rPr>
              <w:t>根</w:t>
            </w:r>
            <w:r w:rsidR="00A94CDC" w:rsidRPr="00A94CDC">
              <w:rPr>
                <w:rFonts w:hint="eastAsia"/>
                <w:szCs w:val="21"/>
              </w:rPr>
              <w:t>30m</w:t>
            </w:r>
            <w:r w:rsidR="00A94CDC" w:rsidRPr="00A94CDC">
              <w:rPr>
                <w:rFonts w:hint="eastAsia"/>
                <w:szCs w:val="21"/>
              </w:rPr>
              <w:t>高排气筒（</w:t>
            </w:r>
            <w:r w:rsidR="00A94CDC" w:rsidRPr="00A94CDC">
              <w:rPr>
                <w:rFonts w:hint="eastAsia"/>
                <w:szCs w:val="21"/>
              </w:rPr>
              <w:t>DA002</w:t>
            </w:r>
            <w:r w:rsidR="00A94CDC">
              <w:rPr>
                <w:rFonts w:hint="eastAsia"/>
                <w:szCs w:val="21"/>
              </w:rPr>
              <w:t>）排放；</w:t>
            </w:r>
            <w:r w:rsidR="00A94CDC" w:rsidRPr="00A94CDC">
              <w:rPr>
                <w:rFonts w:hint="eastAsia"/>
                <w:szCs w:val="21"/>
              </w:rPr>
              <w:t>生物质锅炉废气采用低氮燃烧</w:t>
            </w:r>
            <w:r w:rsidR="00A94CDC" w:rsidRPr="00A94CDC">
              <w:rPr>
                <w:rFonts w:hint="eastAsia"/>
                <w:szCs w:val="21"/>
              </w:rPr>
              <w:t xml:space="preserve">+SNCR </w:t>
            </w:r>
            <w:r w:rsidR="00A94CDC" w:rsidRPr="00A94CDC">
              <w:rPr>
                <w:rFonts w:hint="eastAsia"/>
                <w:szCs w:val="21"/>
              </w:rPr>
              <w:t>脱硝</w:t>
            </w:r>
            <w:r w:rsidR="00A94CDC" w:rsidRPr="00A94CDC">
              <w:rPr>
                <w:rFonts w:hint="eastAsia"/>
                <w:szCs w:val="21"/>
              </w:rPr>
              <w:t>+</w:t>
            </w:r>
            <w:r w:rsidR="00A94CDC" w:rsidRPr="00A94CDC">
              <w:rPr>
                <w:rFonts w:hint="eastAsia"/>
                <w:szCs w:val="21"/>
              </w:rPr>
              <w:t>高效覆膜布袋除尘器</w:t>
            </w:r>
            <w:r w:rsidR="00A94CDC" w:rsidRPr="00A94CDC">
              <w:rPr>
                <w:rFonts w:hint="eastAsia"/>
                <w:szCs w:val="21"/>
              </w:rPr>
              <w:t>+</w:t>
            </w:r>
            <w:r w:rsidR="00A94CDC" w:rsidRPr="00A94CDC">
              <w:rPr>
                <w:rFonts w:hint="eastAsia"/>
                <w:szCs w:val="21"/>
              </w:rPr>
              <w:t>脱硫喷淋塔（双碱法）</w:t>
            </w:r>
            <w:r w:rsidR="00A94CDC" w:rsidRPr="00A94CDC">
              <w:rPr>
                <w:rFonts w:hint="eastAsia"/>
                <w:szCs w:val="21"/>
              </w:rPr>
              <w:t>+30m</w:t>
            </w:r>
            <w:r w:rsidR="00A94CDC" w:rsidRPr="00A94CDC">
              <w:rPr>
                <w:rFonts w:hint="eastAsia"/>
                <w:szCs w:val="21"/>
              </w:rPr>
              <w:t>排气筒（</w:t>
            </w:r>
            <w:r w:rsidR="00A94CDC" w:rsidRPr="00A94CDC">
              <w:rPr>
                <w:rFonts w:hint="eastAsia"/>
                <w:szCs w:val="21"/>
              </w:rPr>
              <w:t>DA002</w:t>
            </w:r>
            <w:r w:rsidR="00A94CDC">
              <w:rPr>
                <w:rFonts w:hint="eastAsia"/>
                <w:szCs w:val="21"/>
              </w:rPr>
              <w:t>）排放</w:t>
            </w:r>
            <w:r w:rsidRPr="00A1689B">
              <w:rPr>
                <w:szCs w:val="21"/>
              </w:rPr>
              <w:t>。</w:t>
            </w:r>
          </w:p>
          <w:p w:rsidR="00A1689B" w:rsidRPr="00A1689B" w:rsidRDefault="00A1689B" w:rsidP="00D72884">
            <w:pPr>
              <w:spacing w:line="300" w:lineRule="exact"/>
              <w:ind w:firstLineChars="200" w:firstLine="420"/>
              <w:jc w:val="left"/>
              <w:rPr>
                <w:color w:val="000000"/>
                <w:szCs w:val="21"/>
              </w:rPr>
            </w:pPr>
            <w:r w:rsidRPr="00A1689B">
              <w:rPr>
                <w:color w:val="000000"/>
                <w:szCs w:val="21"/>
              </w:rPr>
              <w:t>废水污染防治措施：</w:t>
            </w:r>
          </w:p>
          <w:p w:rsidR="00A1689B" w:rsidRPr="00A1689B" w:rsidRDefault="00A1689B" w:rsidP="00D72884">
            <w:pPr>
              <w:spacing w:line="300" w:lineRule="exact"/>
              <w:ind w:firstLineChars="200" w:firstLine="420"/>
              <w:jc w:val="left"/>
              <w:rPr>
                <w:szCs w:val="21"/>
              </w:rPr>
            </w:pPr>
            <w:r w:rsidRPr="00A1689B">
              <w:rPr>
                <w:szCs w:val="21"/>
              </w:rPr>
              <w:t>厂区实施雨污分流，</w:t>
            </w:r>
            <w:r w:rsidR="00A94CDC" w:rsidRPr="00A94CDC">
              <w:rPr>
                <w:rFonts w:hint="eastAsia"/>
                <w:szCs w:val="21"/>
              </w:rPr>
              <w:t>雨水经过厂区雨水管道外排入自然沟，并最终排入三夹河；本项目不新增劳动定员，改建前后供热产能不变，故不新增生活污水及锅炉排污水，尿素配制用水全部损耗，脱硫废水循环利用不外排，故不新增生产废水。</w:t>
            </w:r>
          </w:p>
          <w:p w:rsidR="00A1689B" w:rsidRPr="00A1689B" w:rsidRDefault="00A1689B" w:rsidP="00D72884">
            <w:pPr>
              <w:spacing w:line="300" w:lineRule="exact"/>
              <w:ind w:firstLineChars="200" w:firstLine="420"/>
              <w:jc w:val="left"/>
              <w:rPr>
                <w:color w:val="000000"/>
                <w:szCs w:val="21"/>
              </w:rPr>
            </w:pPr>
            <w:r w:rsidRPr="00A1689B">
              <w:rPr>
                <w:color w:val="000000"/>
                <w:szCs w:val="21"/>
              </w:rPr>
              <w:t>噪声污染防治措施：</w:t>
            </w:r>
          </w:p>
          <w:p w:rsidR="00A1689B" w:rsidRPr="00A1689B" w:rsidRDefault="00A1689B" w:rsidP="00A1689B">
            <w:pPr>
              <w:spacing w:line="300" w:lineRule="exact"/>
              <w:ind w:firstLineChars="200" w:firstLine="420"/>
              <w:jc w:val="left"/>
              <w:rPr>
                <w:szCs w:val="21"/>
              </w:rPr>
            </w:pPr>
            <w:r w:rsidRPr="00A1689B">
              <w:rPr>
                <w:szCs w:val="21"/>
              </w:rPr>
              <w:t>项目噪声主要为</w:t>
            </w:r>
            <w:r w:rsidR="00A94CDC" w:rsidRPr="00A94CDC">
              <w:rPr>
                <w:rFonts w:hint="eastAsia"/>
                <w:szCs w:val="21"/>
              </w:rPr>
              <w:t>锅炉、风机</w:t>
            </w:r>
            <w:r w:rsidRPr="00A1689B">
              <w:rPr>
                <w:szCs w:val="21"/>
              </w:rPr>
              <w:t>等设备产生的噪声。通过选用</w:t>
            </w:r>
            <w:r w:rsidR="00A94CDC">
              <w:rPr>
                <w:rFonts w:hint="eastAsia"/>
                <w:szCs w:val="21"/>
              </w:rPr>
              <w:t>基础</w:t>
            </w:r>
            <w:r w:rsidR="00A94CDC">
              <w:rPr>
                <w:szCs w:val="21"/>
              </w:rPr>
              <w:t>减振</w:t>
            </w:r>
            <w:r w:rsidRPr="00A1689B">
              <w:rPr>
                <w:szCs w:val="21"/>
              </w:rPr>
              <w:t>、隔声等措施使厂界噪声满足《工业企业厂界环境噪声排放标准》（</w:t>
            </w:r>
            <w:r w:rsidRPr="00A1689B">
              <w:rPr>
                <w:szCs w:val="21"/>
              </w:rPr>
              <w:t>GB12348-2008</w:t>
            </w:r>
            <w:r w:rsidRPr="00A1689B">
              <w:rPr>
                <w:szCs w:val="21"/>
              </w:rPr>
              <w:t>）</w:t>
            </w:r>
            <w:r w:rsidRPr="00A1689B">
              <w:rPr>
                <w:szCs w:val="21"/>
              </w:rPr>
              <w:t>2</w:t>
            </w:r>
            <w:r w:rsidRPr="00A1689B">
              <w:rPr>
                <w:szCs w:val="21"/>
              </w:rPr>
              <w:t>类（昼间</w:t>
            </w:r>
            <w:r w:rsidRPr="00A1689B">
              <w:rPr>
                <w:szCs w:val="21"/>
              </w:rPr>
              <w:t>60dB</w:t>
            </w:r>
            <w:r w:rsidRPr="00A1689B">
              <w:rPr>
                <w:szCs w:val="21"/>
              </w:rPr>
              <w:t>（</w:t>
            </w:r>
            <w:r w:rsidRPr="00A1689B">
              <w:rPr>
                <w:szCs w:val="21"/>
              </w:rPr>
              <w:t>A</w:t>
            </w:r>
            <w:r w:rsidRPr="00A1689B">
              <w:rPr>
                <w:szCs w:val="21"/>
              </w:rPr>
              <w:t>）、夜间</w:t>
            </w:r>
            <w:r w:rsidRPr="00A1689B">
              <w:rPr>
                <w:szCs w:val="21"/>
              </w:rPr>
              <w:t>50dB</w:t>
            </w:r>
            <w:r w:rsidRPr="00A1689B">
              <w:rPr>
                <w:szCs w:val="21"/>
              </w:rPr>
              <w:t>（</w:t>
            </w:r>
            <w:r w:rsidRPr="00A1689B">
              <w:rPr>
                <w:szCs w:val="21"/>
              </w:rPr>
              <w:t>A</w:t>
            </w:r>
            <w:r w:rsidRPr="00A1689B">
              <w:rPr>
                <w:szCs w:val="21"/>
              </w:rPr>
              <w:t>））要求。对周围环境影响较小。</w:t>
            </w:r>
          </w:p>
          <w:p w:rsidR="00A1689B" w:rsidRPr="00A1689B" w:rsidRDefault="00A1689B" w:rsidP="00D72884">
            <w:pPr>
              <w:spacing w:line="300" w:lineRule="exact"/>
              <w:ind w:firstLineChars="200" w:firstLine="420"/>
              <w:jc w:val="left"/>
              <w:rPr>
                <w:color w:val="000000"/>
                <w:szCs w:val="21"/>
              </w:rPr>
            </w:pPr>
            <w:r w:rsidRPr="00A1689B">
              <w:rPr>
                <w:szCs w:val="21"/>
              </w:rPr>
              <w:t>固体废物</w:t>
            </w:r>
            <w:r w:rsidRPr="00A1689B">
              <w:rPr>
                <w:color w:val="000000"/>
                <w:szCs w:val="21"/>
              </w:rPr>
              <w:t>废物污染防治措施：</w:t>
            </w:r>
          </w:p>
          <w:p w:rsidR="00A1689B" w:rsidRPr="00A1689B" w:rsidRDefault="00A1689B" w:rsidP="000B4003">
            <w:pPr>
              <w:spacing w:line="300" w:lineRule="exact"/>
              <w:ind w:firstLineChars="200" w:firstLine="420"/>
              <w:jc w:val="left"/>
              <w:rPr>
                <w:szCs w:val="21"/>
              </w:rPr>
            </w:pPr>
            <w:r w:rsidRPr="00A1689B">
              <w:rPr>
                <w:szCs w:val="21"/>
              </w:rPr>
              <w:t>项目营运期</w:t>
            </w:r>
            <w:r w:rsidR="000B4003">
              <w:rPr>
                <w:szCs w:val="21"/>
              </w:rPr>
              <w:t>不新增劳动定员</w:t>
            </w:r>
            <w:r w:rsidR="000B4003">
              <w:rPr>
                <w:rFonts w:hint="eastAsia"/>
                <w:szCs w:val="21"/>
              </w:rPr>
              <w:t>，</w:t>
            </w:r>
            <w:r w:rsidR="000B4003">
              <w:rPr>
                <w:szCs w:val="21"/>
              </w:rPr>
              <w:t>因此不新增</w:t>
            </w:r>
            <w:r w:rsidRPr="00A1689B">
              <w:rPr>
                <w:szCs w:val="21"/>
              </w:rPr>
              <w:t>生活垃圾。一般工业固体废物：</w:t>
            </w:r>
            <w:r w:rsidR="00A94CDC" w:rsidRPr="00A94CDC">
              <w:rPr>
                <w:rFonts w:hint="eastAsia"/>
                <w:color w:val="000000"/>
                <w:szCs w:val="21"/>
              </w:rPr>
              <w:t>锅炉灰渣</w:t>
            </w:r>
            <w:r w:rsidR="00A94CDC">
              <w:rPr>
                <w:rFonts w:hint="eastAsia"/>
                <w:color w:val="000000"/>
                <w:szCs w:val="21"/>
              </w:rPr>
              <w:t>、</w:t>
            </w:r>
            <w:r w:rsidR="00A94CDC" w:rsidRPr="00A94CDC">
              <w:rPr>
                <w:rFonts w:hint="eastAsia"/>
                <w:color w:val="000000"/>
                <w:szCs w:val="21"/>
              </w:rPr>
              <w:t>除尘器收尘灰</w:t>
            </w:r>
            <w:r w:rsidR="00A94CDC">
              <w:rPr>
                <w:rFonts w:hint="eastAsia"/>
                <w:color w:val="000000"/>
                <w:szCs w:val="21"/>
              </w:rPr>
              <w:t>、</w:t>
            </w:r>
            <w:r w:rsidR="00A94CDC" w:rsidRPr="00A94CDC">
              <w:rPr>
                <w:rFonts w:hint="eastAsia"/>
                <w:color w:val="000000"/>
                <w:szCs w:val="21"/>
              </w:rPr>
              <w:t>脱硫废渣</w:t>
            </w:r>
            <w:r w:rsidR="00A94CDC">
              <w:rPr>
                <w:rFonts w:hint="eastAsia"/>
                <w:color w:val="000000"/>
                <w:szCs w:val="21"/>
              </w:rPr>
              <w:t>、</w:t>
            </w:r>
            <w:r w:rsidR="00A94CDC" w:rsidRPr="00A94CDC">
              <w:rPr>
                <w:rFonts w:hint="eastAsia"/>
                <w:color w:val="000000"/>
                <w:szCs w:val="21"/>
              </w:rPr>
              <w:t>废包装材料</w:t>
            </w:r>
            <w:r w:rsidR="00A94CDC">
              <w:rPr>
                <w:rFonts w:hint="eastAsia"/>
                <w:color w:val="000000"/>
                <w:szCs w:val="21"/>
              </w:rPr>
              <w:t>分类</w:t>
            </w:r>
            <w:r w:rsidR="00A94CDC" w:rsidRPr="00A94CDC">
              <w:rPr>
                <w:rFonts w:hint="eastAsia"/>
                <w:color w:val="000000"/>
                <w:szCs w:val="21"/>
              </w:rPr>
              <w:t>收集后暂存于</w:t>
            </w:r>
            <w:r w:rsidR="000B4003">
              <w:rPr>
                <w:rFonts w:hint="eastAsia"/>
                <w:color w:val="000000"/>
                <w:szCs w:val="21"/>
              </w:rPr>
              <w:t>厂区原有的</w:t>
            </w:r>
            <w:r w:rsidR="00A94CDC" w:rsidRPr="00A94CDC">
              <w:rPr>
                <w:rFonts w:hint="eastAsia"/>
                <w:color w:val="000000"/>
                <w:szCs w:val="21"/>
              </w:rPr>
              <w:t>一般固废间，外售综合利用</w:t>
            </w:r>
            <w:r w:rsidRPr="00A1689B">
              <w:rPr>
                <w:color w:val="000000"/>
                <w:szCs w:val="21"/>
              </w:rPr>
              <w:t>。</w:t>
            </w:r>
            <w:bookmarkStart w:id="1" w:name="_GoBack"/>
            <w:bookmarkEnd w:id="1"/>
          </w:p>
        </w:tc>
      </w:tr>
    </w:tbl>
    <w:p w:rsidR="00136A97" w:rsidRDefault="00136A97"/>
    <w:sectPr w:rsidR="00136A97" w:rsidSect="00A1689B">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89B"/>
    <w:rsid w:val="000B4003"/>
    <w:rsid w:val="00136A97"/>
    <w:rsid w:val="00A1689B"/>
    <w:rsid w:val="00A94CDC"/>
    <w:rsid w:val="00BB7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89B"/>
    <w:pPr>
      <w:widowControl w:val="0"/>
      <w:jc w:val="both"/>
    </w:pPr>
    <w:rPr>
      <w:rFonts w:ascii="Times New Roman" w:eastAsia="宋体" w:hAnsi="Times New Roman"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89B"/>
    <w:pPr>
      <w:widowControl w:val="0"/>
      <w:jc w:val="both"/>
    </w:pPr>
    <w:rPr>
      <w:rFonts w:ascii="Times New Roman" w:eastAsia="宋体" w:hAnsi="Times New Roman"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3</cp:revision>
  <dcterms:created xsi:type="dcterms:W3CDTF">2024-09-03T06:51:00Z</dcterms:created>
  <dcterms:modified xsi:type="dcterms:W3CDTF">2024-09-06T09:02:00Z</dcterms:modified>
</cp:coreProperties>
</file>