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992"/>
        <w:gridCol w:w="826"/>
        <w:gridCol w:w="841"/>
        <w:gridCol w:w="1397"/>
        <w:gridCol w:w="2862"/>
        <w:gridCol w:w="6439"/>
        <w:gridCol w:w="1197"/>
      </w:tblGrid>
      <w:tr w14:paraId="7806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8" w:type="pct"/>
            <w:tcBorders>
              <w:tl2br w:val="nil"/>
              <w:tr2bl w:val="nil"/>
            </w:tcBorders>
            <w:shd w:val="clear" w:color="auto" w:fill="auto"/>
            <w:vAlign w:val="center"/>
          </w:tcPr>
          <w:p w14:paraId="17A67520">
            <w:pPr>
              <w:adjustRightInd/>
              <w:snapToGrid/>
              <w:spacing w:after="0"/>
              <w:jc w:val="center"/>
              <w:rPr>
                <w:rFonts w:ascii="宋体" w:hAnsi="宋体" w:eastAsia="宋体" w:cs="宋体"/>
                <w:sz w:val="28"/>
                <w:szCs w:val="28"/>
                <w:highlight w:val="none"/>
              </w:rPr>
            </w:pPr>
            <w:bookmarkStart w:id="0" w:name="RANGE!A1:F2"/>
            <w:r>
              <w:rPr>
                <w:rFonts w:hint="eastAsia" w:ascii="宋体" w:hAnsi="宋体" w:eastAsia="宋体" w:cs="宋体"/>
                <w:sz w:val="28"/>
                <w:szCs w:val="28"/>
                <w:highlight w:val="none"/>
              </w:rPr>
              <w:t>序号</w:t>
            </w:r>
          </w:p>
        </w:tc>
        <w:tc>
          <w:tcPr>
            <w:tcW w:w="323" w:type="pct"/>
            <w:tcBorders>
              <w:tl2br w:val="nil"/>
              <w:tr2bl w:val="nil"/>
            </w:tcBorders>
            <w:shd w:val="clear" w:color="auto" w:fill="auto"/>
            <w:vAlign w:val="center"/>
          </w:tcPr>
          <w:p w14:paraId="20448159">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项目名称</w:t>
            </w:r>
            <w:bookmarkEnd w:id="0"/>
          </w:p>
        </w:tc>
        <w:tc>
          <w:tcPr>
            <w:tcW w:w="269" w:type="pct"/>
            <w:tcBorders>
              <w:tl2br w:val="nil"/>
              <w:tr2bl w:val="nil"/>
            </w:tcBorders>
            <w:shd w:val="clear" w:color="auto" w:fill="auto"/>
            <w:vAlign w:val="center"/>
          </w:tcPr>
          <w:p w14:paraId="0C5F77C5">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建设地点</w:t>
            </w:r>
          </w:p>
        </w:tc>
        <w:tc>
          <w:tcPr>
            <w:tcW w:w="274" w:type="pct"/>
            <w:tcBorders>
              <w:tl2br w:val="nil"/>
              <w:tr2bl w:val="nil"/>
            </w:tcBorders>
            <w:shd w:val="clear" w:color="auto" w:fill="auto"/>
            <w:vAlign w:val="center"/>
          </w:tcPr>
          <w:p w14:paraId="0AC0785F">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建设单位</w:t>
            </w:r>
          </w:p>
        </w:tc>
        <w:tc>
          <w:tcPr>
            <w:tcW w:w="455" w:type="pct"/>
            <w:tcBorders>
              <w:tl2br w:val="nil"/>
              <w:tr2bl w:val="nil"/>
            </w:tcBorders>
            <w:shd w:val="clear" w:color="auto" w:fill="auto"/>
            <w:vAlign w:val="center"/>
          </w:tcPr>
          <w:p w14:paraId="08468C13">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环境影响评价机构</w:t>
            </w:r>
          </w:p>
        </w:tc>
        <w:tc>
          <w:tcPr>
            <w:tcW w:w="932" w:type="pct"/>
            <w:tcBorders>
              <w:tl2br w:val="nil"/>
              <w:tr2bl w:val="nil"/>
            </w:tcBorders>
            <w:shd w:val="clear" w:color="auto" w:fill="auto"/>
            <w:vAlign w:val="center"/>
          </w:tcPr>
          <w:p w14:paraId="30D04685">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建设项目概况</w:t>
            </w:r>
          </w:p>
        </w:tc>
        <w:tc>
          <w:tcPr>
            <w:tcW w:w="2097" w:type="pct"/>
            <w:tcBorders>
              <w:tl2br w:val="nil"/>
              <w:tr2bl w:val="nil"/>
            </w:tcBorders>
            <w:shd w:val="clear" w:color="auto" w:fill="auto"/>
            <w:vAlign w:val="center"/>
          </w:tcPr>
          <w:p w14:paraId="4E5CA8AA">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主要环境影响及预防或减轻不良环境影响的对策和措施</w:t>
            </w:r>
          </w:p>
        </w:tc>
        <w:tc>
          <w:tcPr>
            <w:tcW w:w="390" w:type="pct"/>
            <w:tcBorders>
              <w:tl2br w:val="nil"/>
              <w:tr2bl w:val="nil"/>
            </w:tcBorders>
            <w:shd w:val="clear" w:color="auto" w:fill="auto"/>
            <w:vAlign w:val="center"/>
          </w:tcPr>
          <w:p w14:paraId="2AAA4B89">
            <w:pPr>
              <w:adjustRightInd/>
              <w:snapToGrid/>
              <w:spacing w:after="0"/>
              <w:jc w:val="center"/>
              <w:rPr>
                <w:rFonts w:ascii="宋体" w:hAnsi="宋体" w:eastAsia="宋体" w:cs="宋体"/>
                <w:sz w:val="28"/>
                <w:szCs w:val="28"/>
                <w:highlight w:val="none"/>
              </w:rPr>
            </w:pPr>
            <w:r>
              <w:rPr>
                <w:rFonts w:hint="eastAsia" w:ascii="宋体" w:hAnsi="宋体" w:eastAsia="宋体" w:cs="宋体"/>
                <w:sz w:val="28"/>
                <w:szCs w:val="28"/>
                <w:highlight w:val="none"/>
              </w:rPr>
              <w:t>公众参与情况</w:t>
            </w:r>
          </w:p>
        </w:tc>
      </w:tr>
      <w:tr w14:paraId="52EC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258" w:type="pct"/>
            <w:tcBorders>
              <w:tl2br w:val="nil"/>
              <w:tr2bl w:val="nil"/>
            </w:tcBorders>
            <w:shd w:val="clear" w:color="auto" w:fill="auto"/>
            <w:vAlign w:val="center"/>
          </w:tcPr>
          <w:p w14:paraId="05DFCBF7">
            <w:pPr>
              <w:adjustRightInd/>
              <w:snapToGrid/>
              <w:spacing w:after="0"/>
              <w:jc w:val="cente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none"/>
              </w:rPr>
              <w:t>1</w:t>
            </w:r>
          </w:p>
        </w:tc>
        <w:tc>
          <w:tcPr>
            <w:tcW w:w="323" w:type="pct"/>
            <w:tcBorders>
              <w:tl2br w:val="nil"/>
              <w:tr2bl w:val="nil"/>
            </w:tcBorders>
            <w:shd w:val="clear" w:color="auto" w:fill="auto"/>
            <w:vAlign w:val="center"/>
          </w:tcPr>
          <w:p w14:paraId="0002EE64">
            <w:pPr>
              <w:adjustRightInd/>
              <w:snapToGrid/>
              <w:spacing w:after="0"/>
              <w:jc w:val="center"/>
              <w:rPr>
                <w:rFonts w:ascii="Times New Roman" w:hAnsi="Times New Roman" w:eastAsia="宋体" w:cs="Times New Roman"/>
                <w:sz w:val="21"/>
                <w:szCs w:val="21"/>
                <w:highlight w:val="yellow"/>
              </w:rPr>
            </w:pPr>
            <w:r>
              <w:rPr>
                <w:rFonts w:hint="eastAsia" w:ascii="Times New Roman" w:hAnsi="Times New Roman" w:eastAsia="宋体" w:cs="Times New Roman"/>
                <w:sz w:val="21"/>
                <w:szCs w:val="21"/>
                <w:highlight w:val="none"/>
              </w:rPr>
              <w:t>年产10000吨新型环保节能产品建设项目</w:t>
            </w:r>
          </w:p>
        </w:tc>
        <w:tc>
          <w:tcPr>
            <w:tcW w:w="269" w:type="pct"/>
            <w:tcBorders>
              <w:tl2br w:val="nil"/>
              <w:tr2bl w:val="nil"/>
            </w:tcBorders>
            <w:shd w:val="clear" w:color="auto" w:fill="auto"/>
            <w:vAlign w:val="center"/>
          </w:tcPr>
          <w:p w14:paraId="34A7CB6E">
            <w:pPr>
              <w:adjustRightInd/>
              <w:snapToGrid/>
              <w:spacing w:after="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河南省南阳市唐河县南阳油田井楼油区（唐河县古城乡井楼街）</w:t>
            </w:r>
          </w:p>
        </w:tc>
        <w:tc>
          <w:tcPr>
            <w:tcW w:w="274" w:type="pct"/>
            <w:tcBorders>
              <w:tl2br w:val="nil"/>
              <w:tr2bl w:val="nil"/>
            </w:tcBorders>
            <w:shd w:val="clear" w:color="auto" w:fill="auto"/>
            <w:vAlign w:val="center"/>
          </w:tcPr>
          <w:p w14:paraId="6FB0A7D5">
            <w:pPr>
              <w:adjustRightInd/>
              <w:snapToGrid/>
              <w:spacing w:after="0"/>
              <w:jc w:val="center"/>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南阳锐星新材料有限公司</w:t>
            </w:r>
          </w:p>
        </w:tc>
        <w:tc>
          <w:tcPr>
            <w:tcW w:w="455" w:type="pct"/>
            <w:tcBorders>
              <w:tl2br w:val="nil"/>
              <w:tr2bl w:val="nil"/>
            </w:tcBorders>
            <w:shd w:val="clear" w:color="auto" w:fill="auto"/>
            <w:vAlign w:val="center"/>
          </w:tcPr>
          <w:p w14:paraId="2E96C798">
            <w:pPr>
              <w:adjustRightInd/>
              <w:snapToGrid/>
              <w:spacing w:after="0"/>
              <w:jc w:val="center"/>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lang w:eastAsia="zh-CN"/>
              </w:rPr>
              <w:t>河南悦清环境科技有限公司</w:t>
            </w:r>
          </w:p>
        </w:tc>
        <w:tc>
          <w:tcPr>
            <w:tcW w:w="932" w:type="pct"/>
            <w:tcBorders>
              <w:tl2br w:val="nil"/>
              <w:tr2bl w:val="nil"/>
            </w:tcBorders>
            <w:shd w:val="clear" w:color="auto" w:fill="auto"/>
            <w:vAlign w:val="center"/>
          </w:tcPr>
          <w:p w14:paraId="018E1B7D">
            <w:pPr>
              <w:adjustRightInd/>
              <w:snapToGrid/>
              <w:spacing w:after="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企业拟投资850万元，占地8021.98平方米，主要是利用现有地块上遗留的部分厂房并改造，建设年产10000吨新型环保节能产品项目，主要加工生产聚氨酯、硅酸盐和硅酸铝保温隔热材料。</w:t>
            </w:r>
          </w:p>
          <w:p w14:paraId="311D836A">
            <w:pPr>
              <w:adjustRightInd/>
              <w:snapToGrid/>
              <w:spacing w:after="0"/>
              <w:jc w:val="both"/>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1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①</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聚氨酯保温材料生产工艺：异氰酸酯、聚醚组合料→上料→入模注料→发泡熟化→熟化定型→切割整形→成品待售</w:t>
            </w:r>
            <w:r>
              <w:rPr>
                <w:rFonts w:hint="eastAsia" w:ascii="Times New Roman" w:hAnsi="Times New Roman" w:eastAsia="宋体" w:cs="Times New Roman"/>
                <w:sz w:val="21"/>
                <w:szCs w:val="21"/>
                <w:highlight w:val="none"/>
                <w:lang w:eastAsia="zh-CN"/>
              </w:rPr>
              <w:t>；</w:t>
            </w:r>
          </w:p>
          <w:p w14:paraId="46E9D1CE">
            <w:pPr>
              <w:adjustRightInd/>
              <w:snapToGrid/>
              <w:spacing w:after="0"/>
              <w:jc w:val="both"/>
              <w:rPr>
                <w:rFonts w:hint="eastAsia" w:ascii="Times New Roman" w:hAnsi="Times New Roman" w:eastAsia="宋体" w:cs="Times New Roman"/>
                <w:sz w:val="21"/>
                <w:szCs w:val="21"/>
                <w:highlight w:val="none"/>
                <w:lang w:eastAsia="zh-CN"/>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2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②</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硅酸盐保温材料生产工艺：海泡石、渗透剂、白乳胶→投料→搅拌制浆→入模成型→烘干→脱模→切割整形→成品包装入库</w:t>
            </w:r>
            <w:r>
              <w:rPr>
                <w:rFonts w:hint="eastAsia" w:ascii="Times New Roman" w:hAnsi="Times New Roman" w:eastAsia="宋体" w:cs="Times New Roman"/>
                <w:sz w:val="21"/>
                <w:szCs w:val="21"/>
                <w:highlight w:val="none"/>
                <w:lang w:eastAsia="zh-CN"/>
              </w:rPr>
              <w:t>；</w:t>
            </w:r>
          </w:p>
          <w:p w14:paraId="5638D136">
            <w:pPr>
              <w:adjustRightInd/>
              <w:snapToGrid/>
              <w:spacing w:after="0"/>
              <w:jc w:val="both"/>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fldChar w:fldCharType="begin"/>
            </w:r>
            <w:r>
              <w:rPr>
                <w:rFonts w:hint="default" w:ascii="Times New Roman" w:hAnsi="Times New Roman" w:eastAsia="宋体" w:cs="Times New Roman"/>
                <w:sz w:val="21"/>
                <w:szCs w:val="21"/>
                <w:highlight w:val="none"/>
              </w:rPr>
              <w:instrText xml:space="preserve"> = 3 \* GB3 \* MERGEFORMAT </w:instrText>
            </w:r>
            <w:r>
              <w:rPr>
                <w:rFonts w:hint="default" w:ascii="Times New Roman" w:hAnsi="Times New Roman" w:eastAsia="宋体" w:cs="Times New Roman"/>
                <w:sz w:val="21"/>
                <w:szCs w:val="21"/>
                <w:highlight w:val="none"/>
              </w:rPr>
              <w:fldChar w:fldCharType="separate"/>
            </w:r>
            <w:r>
              <w:rPr>
                <w:rFonts w:hint="default" w:ascii="Times New Roman" w:hAnsi="Times New Roman" w:eastAsia="宋体" w:cs="Times New Roman"/>
                <w:sz w:val="21"/>
                <w:szCs w:val="21"/>
                <w:highlight w:val="none"/>
              </w:rPr>
              <w:t>③</w:t>
            </w:r>
            <w:r>
              <w:rPr>
                <w:rFonts w:hint="default" w:ascii="Times New Roman" w:hAnsi="Times New Roman" w:eastAsia="宋体" w:cs="Times New Roman"/>
                <w:sz w:val="21"/>
                <w:szCs w:val="21"/>
                <w:highlight w:val="none"/>
              </w:rPr>
              <w:fldChar w:fldCharType="end"/>
            </w:r>
            <w:r>
              <w:rPr>
                <w:rFonts w:hint="default" w:ascii="Times New Roman" w:hAnsi="Times New Roman" w:eastAsia="宋体" w:cs="Times New Roman"/>
                <w:sz w:val="21"/>
                <w:szCs w:val="21"/>
                <w:highlight w:val="none"/>
              </w:rPr>
              <w:t>硅酸铝保温材料生产工艺：硅酸铝棉绒→铺棉→模具整形→固化炉烘干→脱芯→切边、修整→包装入库。</w:t>
            </w:r>
          </w:p>
          <w:p w14:paraId="362CD92F">
            <w:pPr>
              <w:adjustRightInd/>
              <w:snapToGrid/>
              <w:spacing w:after="0"/>
              <w:jc w:val="both"/>
              <w:rPr>
                <w:rFonts w:ascii="Times New Roman" w:hAnsi="Times New Roman" w:eastAsia="宋体" w:cs="Times New Roman"/>
                <w:sz w:val="21"/>
                <w:szCs w:val="21"/>
                <w:highlight w:val="yellow"/>
              </w:rPr>
            </w:pPr>
            <w:r>
              <w:rPr>
                <w:rFonts w:hint="default" w:ascii="Times New Roman" w:hAnsi="Times New Roman" w:eastAsia="宋体" w:cs="Times New Roman"/>
                <w:sz w:val="21"/>
                <w:szCs w:val="21"/>
                <w:highlight w:val="none"/>
              </w:rPr>
              <w:t>主要设备</w:t>
            </w:r>
            <w:r>
              <w:rPr>
                <w:rFonts w:hint="default" w:ascii="Times New Roman" w:hAnsi="Times New Roman" w:eastAsia="宋体" w:cs="Times New Roman"/>
                <w:sz w:val="21"/>
                <w:szCs w:val="21"/>
                <w:highlight w:val="none"/>
                <w:lang w:eastAsia="zh-CN"/>
              </w:rPr>
              <w:t>包括</w:t>
            </w:r>
            <w:r>
              <w:rPr>
                <w:rFonts w:hint="default" w:ascii="Times New Roman" w:hAnsi="Times New Roman" w:eastAsia="宋体" w:cs="Times New Roman"/>
                <w:sz w:val="21"/>
                <w:szCs w:val="21"/>
                <w:highlight w:val="none"/>
              </w:rPr>
              <w:t>:</w:t>
            </w:r>
            <w:r>
              <w:rPr>
                <w:rFonts w:hint="default" w:ascii="Times New Roman" w:hAnsi="Times New Roman" w:eastAsia="宋体" w:cs="Times New Roman"/>
                <w:bCs/>
                <w:color w:val="auto"/>
                <w:sz w:val="21"/>
                <w:szCs w:val="21"/>
                <w:highlight w:val="none"/>
              </w:rPr>
              <w:t>发泡机组</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sz w:val="21"/>
                <w:szCs w:val="21"/>
                <w:highlight w:val="none"/>
              </w:rPr>
              <w:t>自动切割包装设备</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sz w:val="21"/>
                <w:szCs w:val="21"/>
                <w:highlight w:val="none"/>
              </w:rPr>
              <w:t>打浆机</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sz w:val="21"/>
                <w:szCs w:val="21"/>
                <w:highlight w:val="none"/>
              </w:rPr>
              <w:t>整形机</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sz w:val="21"/>
                <w:szCs w:val="21"/>
                <w:highlight w:val="none"/>
              </w:rPr>
              <w:t>切割机</w:t>
            </w:r>
            <w:r>
              <w:rPr>
                <w:rFonts w:hint="default" w:ascii="Times New Roman" w:hAnsi="Times New Roman" w:eastAsia="宋体" w:cs="Times New Roman"/>
                <w:bCs/>
                <w:sz w:val="21"/>
                <w:szCs w:val="21"/>
                <w:highlight w:val="none"/>
                <w:lang w:eastAsia="zh-CN"/>
              </w:rPr>
              <w:t>、</w:t>
            </w:r>
            <w:r>
              <w:rPr>
                <w:rFonts w:hint="default" w:ascii="Times New Roman" w:hAnsi="Times New Roman" w:eastAsia="宋体" w:cs="Times New Roman"/>
                <w:bCs/>
                <w:color w:val="auto"/>
                <w:sz w:val="21"/>
                <w:szCs w:val="21"/>
                <w:highlight w:val="none"/>
              </w:rPr>
              <w:t>电烘干炉</w:t>
            </w:r>
            <w:r>
              <w:rPr>
                <w:rFonts w:hint="default" w:ascii="Times New Roman" w:hAnsi="Times New Roman" w:eastAsia="宋体" w:cs="Times New Roman"/>
                <w:sz w:val="21"/>
                <w:szCs w:val="21"/>
                <w:highlight w:val="none"/>
              </w:rPr>
              <w:t>等。</w:t>
            </w:r>
          </w:p>
        </w:tc>
        <w:tc>
          <w:tcPr>
            <w:tcW w:w="2097" w:type="pct"/>
            <w:tcBorders>
              <w:tl2br w:val="nil"/>
              <w:tr2bl w:val="nil"/>
            </w:tcBorders>
            <w:shd w:val="clear" w:color="auto" w:fill="auto"/>
            <w:vAlign w:val="center"/>
          </w:tcPr>
          <w:p w14:paraId="12E27E04">
            <w:pPr>
              <w:numPr>
                <w:ilvl w:val="0"/>
                <w:numId w:val="1"/>
              </w:numPr>
              <w:adjustRightInd/>
              <w:snapToGrid/>
              <w:spacing w:after="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大气环境</w:t>
            </w:r>
          </w:p>
          <w:p w14:paraId="224DF37F">
            <w:pPr>
              <w:numPr>
                <w:numId w:val="0"/>
              </w:numPr>
              <w:adjustRightInd/>
              <w:snapToGrid/>
              <w:spacing w:after="0"/>
              <w:ind w:firstLine="420" w:firstLineChars="200"/>
              <w:jc w:val="both"/>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项目营运期废气主要为聚氨酯保温材料生产时发泡熟化工序产生的有机废气、甲苯二异氰酸酯废气（TDI）和切割粉尘，硅酸盐保温材料生产时投料、切割工序产生的粉尘废气以及烘干工序产生的有机废气，硅酸铝保温材料生产时产生的切割粉尘。建设单位在投料机、发泡机、切割机上方均设置集气罩，废气经收集后统一送入1套“袋式除尘+活性炭吸附/脱附+RCO 催化燃烧”处理设施处理</w:t>
            </w:r>
            <w:r>
              <w:rPr>
                <w:rFonts w:hint="eastAsia" w:ascii="Times New Roman" w:hAnsi="Times New Roman" w:eastAsia="宋体" w:cs="Times New Roman"/>
                <w:sz w:val="21"/>
                <w:szCs w:val="21"/>
                <w:highlight w:val="none"/>
                <w:lang w:eastAsia="zh-CN"/>
              </w:rPr>
              <w:t>，</w:t>
            </w:r>
            <w:r>
              <w:rPr>
                <w:rFonts w:ascii="Times New Roman" w:hAnsi="Times New Roman" w:eastAsia="宋体" w:cs="Times New Roman"/>
                <w:sz w:val="21"/>
                <w:szCs w:val="21"/>
                <w:highlight w:val="none"/>
              </w:rPr>
              <w:t>通过一根15m高排气筒DA00</w:t>
            </w:r>
            <w:r>
              <w:rPr>
                <w:rFonts w:hint="eastAsia" w:ascii="Times New Roman" w:hAnsi="Times New Roman" w:eastAsia="宋体" w:cs="Times New Roman"/>
                <w:sz w:val="21"/>
                <w:szCs w:val="21"/>
                <w:highlight w:val="none"/>
              </w:rPr>
              <w:t>1</w:t>
            </w:r>
            <w:r>
              <w:rPr>
                <w:rFonts w:ascii="Times New Roman" w:hAnsi="Times New Roman" w:eastAsia="宋体" w:cs="Times New Roman"/>
                <w:sz w:val="21"/>
                <w:szCs w:val="21"/>
                <w:highlight w:val="none"/>
              </w:rPr>
              <w:t>排放</w:t>
            </w:r>
            <w:r>
              <w:rPr>
                <w:rFonts w:hint="eastAsia" w:ascii="Times New Roman" w:hAnsi="Times New Roman" w:eastAsia="宋体" w:cs="Times New Roman"/>
                <w:sz w:val="21"/>
                <w:szCs w:val="21"/>
                <w:highlight w:val="none"/>
                <w:lang w:eastAsia="zh-CN"/>
              </w:rPr>
              <w:t>。非甲烷总烃排放能够满足《合成树脂工业污染物排放标准》（GB31572-2015，含2024 年修改单）表4标准要求，同时能够满足《河南省重污染天气重点行业应急减排措施制定技术指南》塑</w:t>
            </w:r>
            <w:bookmarkStart w:id="1" w:name="_GoBack"/>
            <w:bookmarkEnd w:id="1"/>
            <w:r>
              <w:rPr>
                <w:rFonts w:hint="eastAsia" w:ascii="Times New Roman" w:hAnsi="Times New Roman" w:eastAsia="宋体" w:cs="Times New Roman"/>
                <w:sz w:val="21"/>
                <w:szCs w:val="21"/>
                <w:highlight w:val="none"/>
                <w:lang w:eastAsia="zh-CN"/>
              </w:rPr>
              <w:t>料制品行业A级（非甲烷总烃10mg/m</w:t>
            </w:r>
            <w:r>
              <w:rPr>
                <w:rFonts w:hint="eastAsia" w:ascii="Times New Roman" w:hAnsi="Times New Roman" w:eastAsia="宋体" w:cs="Times New Roman"/>
                <w:sz w:val="21"/>
                <w:szCs w:val="21"/>
                <w:highlight w:val="none"/>
                <w:vertAlign w:val="superscript"/>
                <w:lang w:eastAsia="zh-CN"/>
              </w:rPr>
              <w:t>3</w:t>
            </w:r>
            <w:r>
              <w:rPr>
                <w:rFonts w:hint="eastAsia" w:ascii="Times New Roman" w:hAnsi="Times New Roman" w:eastAsia="宋体" w:cs="Times New Roman"/>
                <w:sz w:val="21"/>
                <w:szCs w:val="21"/>
                <w:highlight w:val="none"/>
                <w:lang w:eastAsia="zh-CN"/>
              </w:rPr>
              <w:t>）的要求；TDI排放能够满足《合成树脂工业污染物排放标准》（GB31572-2015，含2024年修改单）表4标准要求（甲苯二异氰酸酯TDI，1mg/m</w:t>
            </w:r>
            <w:r>
              <w:rPr>
                <w:rFonts w:hint="eastAsia" w:ascii="Times New Roman" w:hAnsi="Times New Roman" w:eastAsia="宋体" w:cs="Times New Roman"/>
                <w:sz w:val="21"/>
                <w:szCs w:val="21"/>
                <w:highlight w:val="none"/>
                <w:vertAlign w:val="superscript"/>
                <w:lang w:eastAsia="zh-CN"/>
              </w:rPr>
              <w:t>3</w:t>
            </w:r>
            <w:r>
              <w:rPr>
                <w:rFonts w:hint="eastAsia" w:ascii="Times New Roman" w:hAnsi="Times New Roman" w:eastAsia="宋体" w:cs="Times New Roman"/>
                <w:sz w:val="21"/>
                <w:szCs w:val="21"/>
                <w:highlight w:val="none"/>
                <w:lang w:eastAsia="zh-CN"/>
              </w:rPr>
              <w:t>）；颗粒物排放能够满足《矿物棉工业大气污染物排放标准》（GB41617-2022）中表1标准要求（浓度30mg/m</w:t>
            </w:r>
            <w:r>
              <w:rPr>
                <w:rFonts w:hint="eastAsia" w:ascii="Times New Roman" w:hAnsi="Times New Roman" w:eastAsia="宋体" w:cs="Times New Roman"/>
                <w:sz w:val="21"/>
                <w:szCs w:val="21"/>
                <w:highlight w:val="none"/>
                <w:vertAlign w:val="superscript"/>
                <w:lang w:eastAsia="zh-CN"/>
              </w:rPr>
              <w:t>3</w:t>
            </w:r>
            <w:r>
              <w:rPr>
                <w:rFonts w:hint="eastAsia" w:ascii="Times New Roman" w:hAnsi="Times New Roman" w:eastAsia="宋体" w:cs="Times New Roman"/>
                <w:sz w:val="21"/>
                <w:szCs w:val="21"/>
                <w:highlight w:val="none"/>
                <w:lang w:eastAsia="zh-CN"/>
              </w:rPr>
              <w:t>），同时能够满足《河南省重污染天气重点行业应急减排措施制定技术指南》塑料制品行业A级（颗粒物10mg/m</w:t>
            </w:r>
            <w:r>
              <w:rPr>
                <w:rFonts w:hint="eastAsia" w:ascii="Times New Roman" w:hAnsi="Times New Roman" w:eastAsia="宋体" w:cs="Times New Roman"/>
                <w:sz w:val="21"/>
                <w:szCs w:val="21"/>
                <w:highlight w:val="none"/>
                <w:vertAlign w:val="superscript"/>
                <w:lang w:eastAsia="zh-CN"/>
              </w:rPr>
              <w:t>3</w:t>
            </w:r>
            <w:r>
              <w:rPr>
                <w:rFonts w:hint="eastAsia" w:ascii="Times New Roman" w:hAnsi="Times New Roman" w:eastAsia="宋体" w:cs="Times New Roman"/>
                <w:sz w:val="21"/>
                <w:szCs w:val="21"/>
                <w:highlight w:val="none"/>
                <w:lang w:eastAsia="zh-CN"/>
              </w:rPr>
              <w:t>）和《河南省重污染天气通用行业应急减排措施制定技术指南》（2021年修订版）中涉炉窑企业A级指标（电窑颗粒物10mg/m</w:t>
            </w:r>
            <w:r>
              <w:rPr>
                <w:rFonts w:hint="eastAsia" w:ascii="Times New Roman" w:hAnsi="Times New Roman" w:eastAsia="宋体" w:cs="Times New Roman"/>
                <w:sz w:val="21"/>
                <w:szCs w:val="21"/>
                <w:highlight w:val="none"/>
                <w:vertAlign w:val="superscript"/>
                <w:lang w:eastAsia="zh-CN"/>
              </w:rPr>
              <w:t>3</w:t>
            </w:r>
            <w:r>
              <w:rPr>
                <w:rFonts w:hint="eastAsia" w:ascii="Times New Roman" w:hAnsi="Times New Roman" w:eastAsia="宋体" w:cs="Times New Roman"/>
                <w:sz w:val="21"/>
                <w:szCs w:val="21"/>
                <w:highlight w:val="none"/>
                <w:lang w:eastAsia="zh-CN"/>
              </w:rPr>
              <w:t>）的要求。</w:t>
            </w:r>
          </w:p>
          <w:p w14:paraId="448F36F3">
            <w:pPr>
              <w:adjustRightInd/>
              <w:snapToGrid/>
              <w:spacing w:after="0"/>
              <w:ind w:firstLine="420" w:firstLineChars="20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经采取以上措施后，项目营运期对周围大气环境影响不大。</w:t>
            </w:r>
          </w:p>
          <w:p w14:paraId="45FC5DB5">
            <w:pPr>
              <w:adjustRightInd/>
              <w:snapToGrid/>
              <w:spacing w:after="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2、水环境</w:t>
            </w:r>
          </w:p>
          <w:p w14:paraId="617C76A4">
            <w:pPr>
              <w:adjustRightInd/>
              <w:snapToGrid/>
              <w:spacing w:after="0"/>
              <w:ind w:firstLine="420" w:firstLineChars="200"/>
              <w:jc w:val="both"/>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项目营运期废水主要为职工生活污水</w:t>
            </w:r>
            <w:r>
              <w:rPr>
                <w:rFonts w:hint="eastAsia" w:ascii="Times New Roman" w:hAnsi="Times New Roman" w:eastAsia="宋体" w:cs="Times New Roman"/>
                <w:sz w:val="21"/>
                <w:szCs w:val="21"/>
                <w:highlight w:val="none"/>
                <w:lang w:eastAsia="zh-CN"/>
              </w:rPr>
              <w:t>，经现有厂区内化粪池（10m</w:t>
            </w:r>
            <w:r>
              <w:rPr>
                <w:rFonts w:hint="eastAsia" w:ascii="Times New Roman" w:hAnsi="Times New Roman" w:eastAsia="宋体" w:cs="Times New Roman"/>
                <w:sz w:val="21"/>
                <w:szCs w:val="21"/>
                <w:highlight w:val="none"/>
                <w:vertAlign w:val="superscript"/>
                <w:lang w:eastAsia="zh-CN"/>
              </w:rPr>
              <w:t>3</w:t>
            </w:r>
            <w:r>
              <w:rPr>
                <w:rFonts w:hint="eastAsia" w:ascii="Times New Roman" w:hAnsi="Times New Roman" w:eastAsia="宋体" w:cs="Times New Roman"/>
                <w:sz w:val="21"/>
                <w:szCs w:val="21"/>
                <w:highlight w:val="none"/>
                <w:lang w:eastAsia="zh-CN"/>
              </w:rPr>
              <w:t>）处理后，定期清掏用于周边农田施肥，不外排</w:t>
            </w:r>
            <w:r>
              <w:rPr>
                <w:rFonts w:hint="eastAsia" w:ascii="Times New Roman" w:hAnsi="Times New Roman" w:eastAsia="宋体" w:cs="Times New Roman"/>
                <w:sz w:val="21"/>
                <w:szCs w:val="21"/>
                <w:highlight w:val="none"/>
              </w:rPr>
              <w:t>。</w:t>
            </w:r>
          </w:p>
          <w:p w14:paraId="26385432">
            <w:pPr>
              <w:adjustRightInd/>
              <w:snapToGrid/>
              <w:spacing w:after="0"/>
              <w:ind w:firstLine="420" w:firstLineChars="200"/>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经采取以上措施，项目营运期对周围水环境影响不大。</w:t>
            </w:r>
          </w:p>
          <w:p w14:paraId="48507F17">
            <w:pPr>
              <w:spacing w:after="0"/>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3、声环境</w:t>
            </w:r>
          </w:p>
          <w:p w14:paraId="637EB709">
            <w:pPr>
              <w:adjustRightInd/>
              <w:snapToGrid/>
              <w:spacing w:after="0"/>
              <w:ind w:firstLine="420" w:firstLineChars="200"/>
              <w:jc w:val="both"/>
              <w:rPr>
                <w:rFonts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项目营运期噪声主要为发泡机、切割机、空压机、打卷机和风机等设备产生的噪声，源强在70~80dB(A)之间。在采取合理布局；对高噪声设备安装减振、隔声降噪措施；加强对设备进行维修后，经预测，项目四周厂界昼间噪声预测值能够满足《工业企业厂界环境噪声排放标准》（GB12348-2008）表1中2类标准要求，厂界外敏感点昼间噪声预测值能够满足《声环境质量标准》（GB3096-2008）中2类区标准要求。对周围环境影响较小。</w:t>
            </w:r>
          </w:p>
          <w:p w14:paraId="5FE99F29">
            <w:pPr>
              <w:keepNext w:val="0"/>
              <w:keepLines w:val="0"/>
              <w:pageBreakBefore w:val="0"/>
              <w:widowControl/>
              <w:kinsoku/>
              <w:wordWrap/>
              <w:overflowPunct/>
              <w:topLinePunct w:val="0"/>
              <w:autoSpaceDE/>
              <w:autoSpaceDN/>
              <w:bidi w:val="0"/>
              <w:spacing w:after="0" w:line="240" w:lineRule="auto"/>
              <w:textAlignment w:val="auto"/>
              <w:rPr>
                <w:rFonts w:ascii="Times New Roman" w:hAnsi="Times New Roman" w:eastAsia="宋体" w:cs="Times New Roman"/>
                <w:sz w:val="21"/>
                <w:szCs w:val="21"/>
                <w:highlight w:val="none"/>
              </w:rPr>
            </w:pPr>
            <w:r>
              <w:rPr>
                <w:rFonts w:ascii="Times New Roman" w:hAnsi="Times New Roman" w:eastAsia="宋体" w:cs="Times New Roman"/>
                <w:sz w:val="21"/>
                <w:szCs w:val="21"/>
                <w:highlight w:val="none"/>
              </w:rPr>
              <w:t>4、固体废物</w:t>
            </w:r>
          </w:p>
          <w:p w14:paraId="0E65B381">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Times New Roman" w:hAnsi="Times New Roman" w:eastAsia="浠垮畫" w:cs="Times New Roman"/>
                <w:sz w:val="21"/>
                <w:szCs w:val="21"/>
                <w:highlight w:val="none"/>
                <w:lang w:eastAsia="zh-CN"/>
              </w:rPr>
            </w:pPr>
            <w:r>
              <w:rPr>
                <w:rFonts w:hint="eastAsia" w:ascii="Times New Roman" w:hAnsi="Times New Roman" w:eastAsia="宋体" w:cs="Times New Roman"/>
                <w:sz w:val="21"/>
                <w:szCs w:val="21"/>
                <w:highlight w:val="none"/>
              </w:rPr>
              <w:t>项目产生的一般固体废物主要为：</w:t>
            </w:r>
            <w:r>
              <w:rPr>
                <w:rFonts w:hint="eastAsia" w:ascii="浠垮畫" w:hAnsi="浠垮畫" w:eastAsia="浠垮畫"/>
                <w:sz w:val="21"/>
                <w:szCs w:val="21"/>
                <w:highlight w:val="none"/>
              </w:rPr>
              <w:t>废包装袋集中收集后暂存于库房内定期外售</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不合格产品及边角料集中收集后暂存于库房内定期外售</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；液态原辅材料废包装桶，使用后的空桶，返回供应商重复使用</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废催化剂集中收集后暂存于库房内定期交由专业公司或生产商回收</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生活垃圾分类收集后委托当地环卫部门处置</w:t>
            </w:r>
            <w:r>
              <w:rPr>
                <w:rFonts w:hint="eastAsia" w:ascii="浠垮畫" w:hAnsi="浠垮畫" w:eastAsia="浠垮畫"/>
                <w:sz w:val="21"/>
                <w:szCs w:val="21"/>
                <w:highlight w:val="none"/>
                <w:lang w:eastAsia="zh-CN"/>
              </w:rPr>
              <w:t>。</w:t>
            </w:r>
          </w:p>
          <w:p w14:paraId="3E025E79">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left"/>
              <w:textAlignment w:val="auto"/>
              <w:rPr>
                <w:rFonts w:hint="eastAsia" w:ascii="Times New Roman" w:hAnsi="Times New Roman" w:eastAsia="浠垮畫" w:cs="Times New Roman"/>
                <w:sz w:val="21"/>
                <w:szCs w:val="21"/>
                <w:highlight w:val="none"/>
                <w:lang w:eastAsia="zh-CN"/>
              </w:rPr>
            </w:pPr>
            <w:r>
              <w:rPr>
                <w:rFonts w:hint="eastAsia" w:ascii="浠垮畫" w:hAnsi="浠垮畫" w:eastAsia="浠垮畫"/>
                <w:sz w:val="21"/>
                <w:szCs w:val="21"/>
                <w:highlight w:val="none"/>
              </w:rPr>
              <w:t>项目产生的危废主要为</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废润滑油</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废液压油</w:t>
            </w:r>
            <w:r>
              <w:rPr>
                <w:rFonts w:hint="eastAsia" w:ascii="浠垮畫" w:hAnsi="浠垮畫" w:eastAsia="浠垮畫"/>
                <w:sz w:val="21"/>
                <w:szCs w:val="21"/>
                <w:highlight w:val="none"/>
                <w:lang w:eastAsia="zh-CN"/>
              </w:rPr>
              <w:t>、</w:t>
            </w:r>
            <w:r>
              <w:rPr>
                <w:rFonts w:hint="eastAsia" w:ascii="浠垮畫" w:hAnsi="浠垮畫" w:eastAsia="浠垮畫"/>
                <w:sz w:val="21"/>
                <w:szCs w:val="21"/>
                <w:highlight w:val="none"/>
              </w:rPr>
              <w:t>废矿物油桶由专用容器收集暂存于危废暂存间，最终交有危险废物处置资质的单位处理</w:t>
            </w:r>
            <w:r>
              <w:rPr>
                <w:rFonts w:hint="eastAsia" w:ascii="浠垮畫" w:hAnsi="浠垮畫" w:eastAsia="浠垮畫"/>
                <w:sz w:val="21"/>
                <w:szCs w:val="21"/>
                <w:highlight w:val="none"/>
                <w:lang w:eastAsia="zh-CN"/>
              </w:rPr>
              <w:t>。</w:t>
            </w:r>
          </w:p>
          <w:p w14:paraId="2D4983BB">
            <w:pPr>
              <w:keepNext w:val="0"/>
              <w:keepLines w:val="0"/>
              <w:pageBreakBefore w:val="0"/>
              <w:widowControl/>
              <w:kinsoku/>
              <w:wordWrap/>
              <w:overflowPunct/>
              <w:topLinePunct w:val="0"/>
              <w:autoSpaceDE/>
              <w:autoSpaceDN/>
              <w:bidi w:val="0"/>
              <w:adjustRightInd/>
              <w:snapToGrid/>
              <w:spacing w:after="0" w:line="240" w:lineRule="auto"/>
              <w:ind w:firstLine="420" w:firstLineChars="200"/>
              <w:textAlignment w:val="auto"/>
              <w:rPr>
                <w:rFonts w:ascii="Times New Roman" w:hAnsi="Times New Roman" w:eastAsia="宋体" w:cs="Times New Roman"/>
                <w:sz w:val="24"/>
                <w:szCs w:val="24"/>
                <w:highlight w:val="yellow"/>
              </w:rPr>
            </w:pPr>
            <w:r>
              <w:rPr>
                <w:rFonts w:hint="eastAsia" w:ascii="Times New Roman" w:hAnsi="Times New Roman" w:eastAsia="宋体" w:cs="Times New Roman"/>
                <w:sz w:val="21"/>
                <w:szCs w:val="21"/>
                <w:highlight w:val="none"/>
              </w:rPr>
              <w:t>在采取上述污染防治措施后，本项目所产生的固体废物均可得到合理、有效的处理和处置，其产生的固体废弃物不会对周围环境造成二次污染。固体废物在得到妥善处置后预计对环境影响较小</w:t>
            </w:r>
            <w:r>
              <w:rPr>
                <w:rFonts w:hint="eastAsia" w:ascii="Times New Roman" w:hAnsi="Times New Roman" w:eastAsia="宋体" w:cs="Times New Roman"/>
                <w:sz w:val="21"/>
                <w:szCs w:val="21"/>
                <w:highlight w:val="none"/>
              </w:rPr>
              <w:t>。</w:t>
            </w:r>
          </w:p>
        </w:tc>
        <w:tc>
          <w:tcPr>
            <w:tcW w:w="390" w:type="pct"/>
            <w:tcBorders>
              <w:tl2br w:val="nil"/>
              <w:tr2bl w:val="nil"/>
            </w:tcBorders>
            <w:shd w:val="clear" w:color="auto" w:fill="auto"/>
            <w:vAlign w:val="center"/>
          </w:tcPr>
          <w:p w14:paraId="76D12960">
            <w:pPr>
              <w:adjustRightInd/>
              <w:snapToGrid/>
              <w:spacing w:after="0"/>
              <w:jc w:val="center"/>
              <w:rPr>
                <w:rFonts w:ascii="Times New Roman" w:hAnsi="Times New Roman" w:eastAsia="宋体" w:cs="Times New Roman"/>
                <w:sz w:val="24"/>
                <w:szCs w:val="24"/>
                <w:highlight w:val="yellow"/>
              </w:rPr>
            </w:pPr>
            <w:r>
              <w:rPr>
                <w:rFonts w:hint="eastAsia" w:ascii="Times New Roman" w:hAnsi="Times New Roman" w:eastAsia="宋体" w:cs="Times New Roman"/>
                <w:sz w:val="24"/>
                <w:szCs w:val="24"/>
                <w:highlight w:val="none"/>
              </w:rPr>
              <w:t>/</w:t>
            </w:r>
          </w:p>
        </w:tc>
      </w:tr>
    </w:tbl>
    <w:p w14:paraId="08C71B36">
      <w:pPr>
        <w:spacing w:line="220" w:lineRule="atLeast"/>
      </w:pPr>
    </w:p>
    <w:sectPr>
      <w:pgSz w:w="16838" w:h="11906" w:orient="landscape"/>
      <w:pgMar w:top="1797" w:right="851" w:bottom="1797" w:left="85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32F8A1"/>
    <w:multiLevelType w:val="singleLevel"/>
    <w:tmpl w:val="7132F8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docVars>
    <w:docVar w:name="commondata" w:val="eyJoZGlkIjoiZjYxZTczZWMwOWM5Mjc1YTFiM2Y0MmNhOWNkY2NlYmUifQ=="/>
  </w:docVars>
  <w:rsids>
    <w:rsidRoot w:val="00172A27"/>
    <w:rsid w:val="000B19AB"/>
    <w:rsid w:val="001E711F"/>
    <w:rsid w:val="002329D3"/>
    <w:rsid w:val="002F670B"/>
    <w:rsid w:val="00323B43"/>
    <w:rsid w:val="003D37D8"/>
    <w:rsid w:val="003D515D"/>
    <w:rsid w:val="00426133"/>
    <w:rsid w:val="004358AB"/>
    <w:rsid w:val="00783A45"/>
    <w:rsid w:val="008B7726"/>
    <w:rsid w:val="00952072"/>
    <w:rsid w:val="009656C1"/>
    <w:rsid w:val="009C3039"/>
    <w:rsid w:val="00C83BD8"/>
    <w:rsid w:val="00C9558C"/>
    <w:rsid w:val="00D31D50"/>
    <w:rsid w:val="00D67472"/>
    <w:rsid w:val="00E06992"/>
    <w:rsid w:val="00E249E0"/>
    <w:rsid w:val="00F6787F"/>
    <w:rsid w:val="00F961CA"/>
    <w:rsid w:val="00FC631A"/>
    <w:rsid w:val="04216C12"/>
    <w:rsid w:val="056E7771"/>
    <w:rsid w:val="08F02FFD"/>
    <w:rsid w:val="0A6832E7"/>
    <w:rsid w:val="0C835425"/>
    <w:rsid w:val="0CD229E9"/>
    <w:rsid w:val="0D1B7D9A"/>
    <w:rsid w:val="0D86163D"/>
    <w:rsid w:val="0DC108C7"/>
    <w:rsid w:val="0DC256F2"/>
    <w:rsid w:val="0E0E7C8D"/>
    <w:rsid w:val="121440DC"/>
    <w:rsid w:val="12945722"/>
    <w:rsid w:val="141C14B3"/>
    <w:rsid w:val="165F659F"/>
    <w:rsid w:val="174E5171"/>
    <w:rsid w:val="177F7B8E"/>
    <w:rsid w:val="1A3F375B"/>
    <w:rsid w:val="1B202240"/>
    <w:rsid w:val="1B7B5A92"/>
    <w:rsid w:val="1D6224F5"/>
    <w:rsid w:val="1E9E13A1"/>
    <w:rsid w:val="2302284A"/>
    <w:rsid w:val="23A05E9B"/>
    <w:rsid w:val="2A7C79C0"/>
    <w:rsid w:val="2BCD77EC"/>
    <w:rsid w:val="2D13653D"/>
    <w:rsid w:val="2F2F6FA5"/>
    <w:rsid w:val="32F52CC2"/>
    <w:rsid w:val="35BF673F"/>
    <w:rsid w:val="35EA0749"/>
    <w:rsid w:val="37307FBC"/>
    <w:rsid w:val="389945D7"/>
    <w:rsid w:val="399B5B26"/>
    <w:rsid w:val="3C8D17F0"/>
    <w:rsid w:val="3EB80859"/>
    <w:rsid w:val="3FBF1215"/>
    <w:rsid w:val="41E13054"/>
    <w:rsid w:val="426C7396"/>
    <w:rsid w:val="458978FD"/>
    <w:rsid w:val="4AC65E65"/>
    <w:rsid w:val="4C3454FE"/>
    <w:rsid w:val="4EBF142F"/>
    <w:rsid w:val="4F837BA7"/>
    <w:rsid w:val="4FE616B8"/>
    <w:rsid w:val="4FF76E32"/>
    <w:rsid w:val="50671F8A"/>
    <w:rsid w:val="53756BB6"/>
    <w:rsid w:val="55607BF1"/>
    <w:rsid w:val="55C356B4"/>
    <w:rsid w:val="565D1FD4"/>
    <w:rsid w:val="58AB3744"/>
    <w:rsid w:val="58D04AE7"/>
    <w:rsid w:val="58D2260D"/>
    <w:rsid w:val="59D944D2"/>
    <w:rsid w:val="5A0548CA"/>
    <w:rsid w:val="5DC57630"/>
    <w:rsid w:val="5F5B7B0A"/>
    <w:rsid w:val="5FC461FA"/>
    <w:rsid w:val="61CA3656"/>
    <w:rsid w:val="62080FDF"/>
    <w:rsid w:val="66EF68AF"/>
    <w:rsid w:val="66FC5E97"/>
    <w:rsid w:val="67B87D43"/>
    <w:rsid w:val="692220A1"/>
    <w:rsid w:val="69A62036"/>
    <w:rsid w:val="6A4C0B9A"/>
    <w:rsid w:val="6CD26C28"/>
    <w:rsid w:val="6D8A5F2F"/>
    <w:rsid w:val="6DA86F64"/>
    <w:rsid w:val="6E3C77B4"/>
    <w:rsid w:val="6ECF1001"/>
    <w:rsid w:val="703772B3"/>
    <w:rsid w:val="74B87FFE"/>
    <w:rsid w:val="75AE3E8F"/>
    <w:rsid w:val="75D64DB7"/>
    <w:rsid w:val="777213D4"/>
    <w:rsid w:val="786D2C10"/>
    <w:rsid w:val="79D36DDB"/>
    <w:rsid w:val="7A932F58"/>
    <w:rsid w:val="7B2966FD"/>
    <w:rsid w:val="7EB406C7"/>
    <w:rsid w:val="7EB64AB5"/>
    <w:rsid w:val="7ECF2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b/>
      <w:sz w:val="24"/>
    </w:rPr>
  </w:style>
  <w:style w:type="paragraph" w:styleId="3">
    <w:name w:val="Body Text Indent"/>
    <w:basedOn w:val="1"/>
    <w:qFormat/>
    <w:uiPriority w:val="0"/>
    <w:pPr>
      <w:spacing w:line="480" w:lineRule="exact"/>
      <w:ind w:firstLine="538" w:firstLineChars="192"/>
    </w:pPr>
    <w:rPr>
      <w:rFonts w:ascii="宋体" w:hAnsi="宋体"/>
      <w:sz w:val="28"/>
    </w:rPr>
  </w:style>
  <w:style w:type="paragraph" w:styleId="4">
    <w:name w:val="Body Text Indent 2"/>
    <w:basedOn w:val="1"/>
    <w:qFormat/>
    <w:uiPriority w:val="0"/>
    <w:pPr>
      <w:ind w:firstLine="570"/>
    </w:pPr>
    <w:rPr>
      <w:sz w:val="28"/>
    </w:rPr>
  </w:style>
  <w:style w:type="paragraph" w:styleId="5">
    <w:name w:val="footer"/>
    <w:basedOn w:val="1"/>
    <w:link w:val="14"/>
    <w:semiHidden/>
    <w:unhideWhenUsed/>
    <w:qFormat/>
    <w:uiPriority w:val="99"/>
    <w:pPr>
      <w:tabs>
        <w:tab w:val="center" w:pos="4153"/>
        <w:tab w:val="right" w:pos="8306"/>
      </w:tabs>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Body Text First Indent"/>
    <w:basedOn w:val="2"/>
    <w:qFormat/>
    <w:uiPriority w:val="99"/>
    <w:pPr>
      <w:ind w:firstLine="420" w:firstLineChars="100"/>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Default"/>
    <w:basedOn w:val="12"/>
    <w:qFormat/>
    <w:uiPriority w:val="99"/>
    <w:pPr>
      <w:widowControl w:val="0"/>
      <w:autoSpaceDE w:val="0"/>
      <w:autoSpaceDN w:val="0"/>
      <w:adjustRightInd w:val="0"/>
    </w:pPr>
    <w:rPr>
      <w:rFonts w:ascii="宋体" w:eastAsia="宋体" w:cs="宋体" w:hAnsiTheme="minorHAnsi"/>
      <w:color w:val="000000"/>
      <w:kern w:val="0"/>
      <w:sz w:val="24"/>
    </w:rPr>
  </w:style>
  <w:style w:type="paragraph" w:customStyle="1" w:styleId="12">
    <w:name w:val="标题 段落4级"/>
    <w:qFormat/>
    <w:uiPriority w:val="0"/>
    <w:pPr>
      <w:spacing w:line="500" w:lineRule="exact"/>
      <w:outlineLvl w:val="3"/>
    </w:pPr>
    <w:rPr>
      <w:rFonts w:ascii="Times New Roman" w:hAnsi="Times New Roman" w:eastAsia="仿宋_GB2312" w:cs="Calibri"/>
      <w:b/>
      <w:kern w:val="2"/>
      <w:sz w:val="28"/>
      <w:szCs w:val="24"/>
      <w:lang w:val="en-US" w:eastAsia="zh-CN" w:bidi="ar-SA"/>
    </w:rPr>
  </w:style>
  <w:style w:type="character" w:customStyle="1" w:styleId="13">
    <w:name w:val="页眉 Char"/>
    <w:basedOn w:val="10"/>
    <w:link w:val="6"/>
    <w:semiHidden/>
    <w:qFormat/>
    <w:uiPriority w:val="99"/>
    <w:rPr>
      <w:rFonts w:ascii="Tahoma" w:hAnsi="Tahoma" w:eastAsia="微软雅黑" w:cstheme="minorBidi"/>
      <w:sz w:val="18"/>
      <w:szCs w:val="18"/>
    </w:rPr>
  </w:style>
  <w:style w:type="character" w:customStyle="1" w:styleId="14">
    <w:name w:val="页脚 Char"/>
    <w:basedOn w:val="10"/>
    <w:link w:val="5"/>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1353</Words>
  <Characters>1478</Characters>
  <Lines>10</Lines>
  <Paragraphs>3</Paragraphs>
  <TotalTime>12</TotalTime>
  <ScaleCrop>false</ScaleCrop>
  <LinksUpToDate>false</LinksUpToDate>
  <CharactersWithSpaces>1478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六神花露水</cp:lastModifiedBy>
  <dcterms:modified xsi:type="dcterms:W3CDTF">2024-09-05T01:46:14Z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554A64AEAC5141E49BC4E86348349A74</vt:lpwstr>
  </property>
</Properties>
</file>