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992"/>
        <w:gridCol w:w="826"/>
        <w:gridCol w:w="841"/>
        <w:gridCol w:w="1397"/>
        <w:gridCol w:w="2862"/>
        <w:gridCol w:w="6439"/>
        <w:gridCol w:w="1197"/>
      </w:tblGrid>
      <w:tr w14:paraId="472C7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2E3A56">
            <w:pPr>
              <w:adjustRightInd/>
              <w:snapToGrid/>
              <w:spacing w:after="0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  <w:bookmarkStart w:id="0" w:name="RANGE!A1:F2"/>
            <w:r>
              <w:rPr>
                <w:rFonts w:hint="eastAsia" w:ascii="宋体" w:hAnsi="宋体" w:eastAsia="宋体" w:cs="宋体"/>
                <w:sz w:val="28"/>
                <w:szCs w:val="28"/>
              </w:rPr>
              <w:t>序号</w:t>
            </w:r>
          </w:p>
        </w:tc>
        <w:tc>
          <w:tcPr>
            <w:tcW w:w="3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DD2397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项目名称</w:t>
            </w:r>
            <w:bookmarkEnd w:id="0"/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AF28E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建设地点</w:t>
            </w:r>
          </w:p>
        </w:tc>
        <w:tc>
          <w:tcPr>
            <w:tcW w:w="2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8FC44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建设单位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F13555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环境影响评价机构</w:t>
            </w:r>
          </w:p>
        </w:tc>
        <w:tc>
          <w:tcPr>
            <w:tcW w:w="93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5DFF16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建设项目概况</w:t>
            </w:r>
          </w:p>
        </w:tc>
        <w:tc>
          <w:tcPr>
            <w:tcW w:w="209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5FA199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主要环境影响及预防或减轻不良环境影响的对策和措施</w:t>
            </w:r>
          </w:p>
        </w:tc>
        <w:tc>
          <w:tcPr>
            <w:tcW w:w="3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FFD4C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公众参与情况</w:t>
            </w:r>
          </w:p>
        </w:tc>
      </w:tr>
      <w:tr w14:paraId="4552A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  <w:jc w:val="center"/>
        </w:trPr>
        <w:tc>
          <w:tcPr>
            <w:tcW w:w="2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5CB982"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5781AB"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河南佳一日用制品股份有限公司年产1000万件（套）塑胶制品扩建项目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D413A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南阳市唐河县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先进制造业开发区盛居路153号</w:t>
            </w:r>
          </w:p>
        </w:tc>
        <w:tc>
          <w:tcPr>
            <w:tcW w:w="2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890FEF"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河南佳一日用制品股份有限公司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BF6854"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南阳洁萌环保工程有限公司</w:t>
            </w:r>
          </w:p>
        </w:tc>
        <w:tc>
          <w:tcPr>
            <w:tcW w:w="93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EFBC95"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本次扩建建设单位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新建11#生产厂房，同时利用3#车间拉丝工序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，扩建1条年产1000万件（套）塑胶制品生产线，总投资15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0万元，新增占地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6000m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superscript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。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包含3楼原料仓库，4楼、5楼成品仓库，1楼、2楼注塑区、植毛区、打杆机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；工艺流程：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外购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原料--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混合搅拌-注塑成型--拉丝-植毛-校验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--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包装外售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。</w:t>
            </w:r>
          </w:p>
        </w:tc>
        <w:tc>
          <w:tcPr>
            <w:tcW w:w="209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7B107A">
            <w:pPr>
              <w:adjustRightInd/>
              <w:snapToGrid/>
              <w:spacing w:after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1、大气环境</w:t>
            </w:r>
          </w:p>
          <w:p w14:paraId="28C96A54">
            <w:pPr>
              <w:adjustRightInd/>
              <w:snapToGrid/>
              <w:spacing w:after="0"/>
              <w:ind w:firstLine="420" w:firstLineChars="20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本次扩建工程废气主要为粉碎粉尘，注塑、拉丝产生的有机废气等。</w:t>
            </w:r>
          </w:p>
          <w:p w14:paraId="09BADC8C">
            <w:pPr>
              <w:pStyle w:val="11"/>
              <w:adjustRightInd/>
              <w:spacing w:line="240" w:lineRule="auto"/>
              <w:ind w:firstLine="420" w:firstLineChars="200"/>
              <w:jc w:val="both"/>
              <w:rPr>
                <w:rFonts w:hint="eastAsia" w:ascii="Times New Roman" w:hAnsi="Times New Roman" w:cs="Times New Roman"/>
                <w:b w:val="0"/>
                <w:sz w:val="21"/>
              </w:rPr>
            </w:pPr>
            <w:r>
              <w:rPr>
                <w:rFonts w:hint="eastAsia" w:ascii="Times New Roman" w:hAnsi="Times New Roman" w:cs="Times New Roman"/>
                <w:b w:val="0"/>
                <w:sz w:val="21"/>
                <w:lang w:val="en-US" w:eastAsia="zh-CN"/>
              </w:rPr>
              <w:t>①拉丝工序利用3#厂房备用拉丝机，拉丝工序产生的有机废气经集气罩收集后，经1套新建二级活性炭吸附+1根15m高排气筒（DA014）排放；②11#生产车间东侧相邻25台注塑机，有机废气经集气罩收集后，经二级活性炭吸附后经25m高排气筒（DA011）排放；</w:t>
            </w:r>
            <w:r>
              <w:rPr>
                <w:rFonts w:hint="eastAsia" w:ascii="Times New Roman" w:hAnsi="Times New Roman" w:cs="Times New Roman"/>
                <w:b w:val="0"/>
                <w:sz w:val="21"/>
                <w:lang w:val="en-US" w:eastAsia="zh-CN"/>
              </w:rPr>
              <w:t>西侧相邻布设25台注塑机，有机废气经集气罩收集后，经二级活性炭吸附后经25m高排气筒（DA012）排</w:t>
            </w:r>
            <w:r>
              <w:rPr>
                <w:rFonts w:hint="eastAsia" w:ascii="Times New Roman" w:hAnsi="Times New Roman" w:cs="Times New Roman"/>
                <w:b w:val="0"/>
                <w:sz w:val="21"/>
                <w:lang w:val="en-US"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b w:val="0"/>
                <w:sz w:val="21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b w:val="0"/>
                <w:sz w:val="21"/>
                <w:lang w:val="en-US" w:eastAsia="zh-CN"/>
              </w:rPr>
              <w:instrText xml:space="preserve"> = 3 \* GB3 \* MERGEFORMAT </w:instrText>
            </w:r>
            <w:r>
              <w:rPr>
                <w:rFonts w:hint="eastAsia" w:ascii="Times New Roman" w:hAnsi="Times New Roman" w:eastAsia="宋体" w:cs="Times New Roman"/>
                <w:b w:val="0"/>
                <w:sz w:val="21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b w:val="0"/>
                <w:sz w:val="21"/>
                <w:lang w:val="en-US" w:eastAsia="zh-CN"/>
              </w:rPr>
              <w:t>③</w:t>
            </w:r>
            <w:r>
              <w:rPr>
                <w:rFonts w:hint="eastAsia" w:ascii="Times New Roman" w:hAnsi="Times New Roman" w:eastAsia="宋体" w:cs="Times New Roman"/>
                <w:b w:val="0"/>
                <w:sz w:val="21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b w:val="0"/>
                <w:sz w:val="21"/>
                <w:lang w:val="en-US" w:eastAsia="zh-CN"/>
              </w:rPr>
              <w:t>扩建工程新增2台粉碎机，上方设集气罩，采用负压集气收集，收集的粉尘经袋式除尘器处理后，经25m高排气筒（DA013）排放。</w:t>
            </w:r>
            <w:r>
              <w:rPr>
                <w:rFonts w:hint="eastAsia" w:ascii="Times New Roman" w:hAnsi="Times New Roman" w:cs="Times New Roman"/>
                <w:b w:val="0"/>
                <w:sz w:val="21"/>
                <w:lang w:val="en-US" w:eastAsia="zh-CN"/>
              </w:rPr>
              <w:t>颗粒物和NMHC</w:t>
            </w:r>
            <w:r>
              <w:rPr>
                <w:rFonts w:hint="eastAsia" w:ascii="Times New Roman" w:hAnsi="Times New Roman" w:cs="Times New Roman"/>
                <w:b w:val="0"/>
                <w:sz w:val="21"/>
              </w:rPr>
              <w:t>排放浓度能够满足能够满足《河南省重污染天气重点行业应急减排措施措施制定技术指南》（2024年）塑料制品行业中“A级企业”绩效分级中NMHC有组织排放限值（20mg/m3）、颗粒物有组织排放限值（10mg/m3）要求。</w:t>
            </w:r>
          </w:p>
          <w:p w14:paraId="7F6D81BE">
            <w:pPr>
              <w:adjustRightInd/>
              <w:snapToGrid/>
              <w:spacing w:after="0"/>
              <w:ind w:firstLine="420" w:firstLineChars="20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经采取以上措施后，项目营运期对周围大气环境影响不大。</w:t>
            </w:r>
          </w:p>
          <w:p w14:paraId="58400586">
            <w:pPr>
              <w:adjustRightInd/>
              <w:snapToGrid/>
              <w:spacing w:after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2、水环境</w:t>
            </w:r>
          </w:p>
          <w:p w14:paraId="3BB41556">
            <w:pPr>
              <w:adjustRightInd/>
              <w:snapToGrid/>
              <w:spacing w:after="0"/>
              <w:ind w:firstLine="420" w:firstLineChars="20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扩建项目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营运期产生的废水主要为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生活污水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。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利用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厂区现有化粪池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处理后通过污水管网排入唐河县污水处理厂处理后达标排放，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对唐河水环境影响较小。</w:t>
            </w:r>
          </w:p>
          <w:p w14:paraId="658C02BA">
            <w:pPr>
              <w:adjustRightInd/>
              <w:snapToGrid/>
              <w:spacing w:after="0"/>
              <w:ind w:firstLine="420" w:firstLineChars="20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经采取以上措施，项目营运期对周围水环境影响不大。</w:t>
            </w:r>
          </w:p>
          <w:p w14:paraId="1294B777">
            <w:pPr>
              <w:spacing w:after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3、声环境</w:t>
            </w:r>
          </w:p>
          <w:p w14:paraId="362D1933">
            <w:pPr>
              <w:autoSpaceDE w:val="0"/>
              <w:autoSpaceDN w:val="0"/>
              <w:adjustRightInd/>
              <w:snapToGrid/>
              <w:spacing w:after="0"/>
              <w:ind w:firstLine="420" w:firstLineChars="200"/>
              <w:jc w:val="both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hAnsiTheme="minorEastAsia" w:eastAsiaTheme="minorEastAsia"/>
                <w:sz w:val="21"/>
                <w:szCs w:val="21"/>
              </w:rPr>
              <w:t>本项目营运期噪声主要为粉碎机、打杆机、注塑机、风机等设备运行时产生的机械噪声，噪声源强在</w:t>
            </w:r>
            <w:r>
              <w:rPr>
                <w:rFonts w:hint="eastAsia" w:hAnsiTheme="minorEastAsia" w:eastAsiaTheme="minorEastAsia"/>
                <w:sz w:val="21"/>
                <w:szCs w:val="21"/>
                <w:lang w:val="en-US" w:eastAsia="zh-CN"/>
              </w:rPr>
              <w:t>80</w:t>
            </w:r>
            <w:r>
              <w:rPr>
                <w:rFonts w:hint="eastAsia" w:hAnsiTheme="minorEastAsia" w:eastAsiaTheme="minorEastAsia"/>
                <w:sz w:val="21"/>
                <w:szCs w:val="21"/>
              </w:rPr>
              <w:t>~</w:t>
            </w:r>
            <w:r>
              <w:rPr>
                <w:rFonts w:hint="eastAsia" w:hAnsiTheme="minorEastAsia" w:eastAsiaTheme="minorEastAsia"/>
                <w:sz w:val="21"/>
                <w:szCs w:val="21"/>
                <w:lang w:val="en-US" w:eastAsia="zh-CN"/>
              </w:rPr>
              <w:t>90</w:t>
            </w:r>
            <w:r>
              <w:rPr>
                <w:rFonts w:hint="eastAsia" w:hAnsiTheme="minorEastAsia" w:eastAsiaTheme="minorEastAsia"/>
                <w:sz w:val="21"/>
                <w:szCs w:val="21"/>
              </w:rPr>
              <w:t>dB（A）之间。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通过基础减振、厂房隔声等治理措施，并经距离衰减后，厂界处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昼间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噪声可以满足《工业企业厂界环境噪声排放标准》（GB12348-2008）中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类标准，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对周围环境影响较小。</w:t>
            </w:r>
          </w:p>
          <w:p w14:paraId="006FD4A3">
            <w:pPr>
              <w:spacing w:after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4、固体废物</w:t>
            </w:r>
          </w:p>
          <w:p w14:paraId="12B216CF">
            <w:pPr>
              <w:adjustRightInd/>
              <w:snapToGrid/>
              <w:spacing w:after="0"/>
              <w:ind w:firstLine="420" w:firstLineChars="20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本项目营运期固体废物主要包括一般工业固废、危险废物及职工生活垃圾等。</w:t>
            </w:r>
          </w:p>
          <w:p w14:paraId="6097A553">
            <w:pPr>
              <w:adjustRightInd/>
              <w:snapToGrid/>
              <w:spacing w:after="0"/>
              <w:ind w:firstLine="420" w:firstLineChars="200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一般固废：①除尘器粉尘回用于生产；②不合格产品、边角料使用粉碎机粉碎作为原料回用于生产；③废包装材料收集后分类暂存于一般固废间，随后外售处理。</w:t>
            </w:r>
          </w:p>
          <w:p w14:paraId="267EDF9F">
            <w:pPr>
              <w:adjustRightInd/>
              <w:snapToGrid/>
              <w:spacing w:after="0"/>
              <w:ind w:firstLine="420" w:firstLineChars="200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危险废物：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废活性炭、废机油、废机油桶暂存于危废暂存间，定期交由有危废资质单位处置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。</w:t>
            </w:r>
          </w:p>
          <w:p w14:paraId="32C21766">
            <w:pPr>
              <w:adjustRightInd/>
              <w:snapToGrid/>
              <w:spacing w:after="0"/>
              <w:ind w:firstLine="420" w:firstLineChars="20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生活垃圾由当地环卫部门清运处理，化粪池污泥定期清掏用于周边农田施肥。</w:t>
            </w:r>
          </w:p>
          <w:p w14:paraId="4D240363">
            <w:pPr>
              <w:adjustRightInd/>
              <w:snapToGrid/>
              <w:spacing w:after="0"/>
              <w:ind w:firstLine="420" w:firstLineChars="2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在采取上述污染防治措施后，本项目所产生的固体废物均可得到合理、有效的处理和处置，其产生的固体废弃物不会对周围环境造成二次污染。固体废物在得到妥善处置后预计对环境影响较小，可以接受。</w:t>
            </w:r>
            <w:bookmarkStart w:id="1" w:name="_GoBack"/>
            <w:bookmarkEnd w:id="1"/>
          </w:p>
        </w:tc>
        <w:tc>
          <w:tcPr>
            <w:tcW w:w="3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1D6302"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/</w:t>
            </w:r>
          </w:p>
        </w:tc>
      </w:tr>
    </w:tbl>
    <w:p w14:paraId="37DF3356">
      <w:pPr>
        <w:spacing w:line="220" w:lineRule="atLeast"/>
      </w:pPr>
    </w:p>
    <w:sectPr>
      <w:pgSz w:w="16838" w:h="11906" w:orient="landscape"/>
      <w:pgMar w:top="1797" w:right="851" w:bottom="1797" w:left="85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2"/>
  </w:compat>
  <w:rsids>
    <w:rsidRoot w:val="00D31D50"/>
    <w:rsid w:val="000B19AB"/>
    <w:rsid w:val="001E711F"/>
    <w:rsid w:val="002329D3"/>
    <w:rsid w:val="00253239"/>
    <w:rsid w:val="002F670B"/>
    <w:rsid w:val="00323B43"/>
    <w:rsid w:val="003A59E8"/>
    <w:rsid w:val="003D37D8"/>
    <w:rsid w:val="003D515D"/>
    <w:rsid w:val="00426133"/>
    <w:rsid w:val="004358AB"/>
    <w:rsid w:val="004542BC"/>
    <w:rsid w:val="004B16D8"/>
    <w:rsid w:val="004F7F69"/>
    <w:rsid w:val="005B1557"/>
    <w:rsid w:val="005E2815"/>
    <w:rsid w:val="006043CB"/>
    <w:rsid w:val="00685FE2"/>
    <w:rsid w:val="00783A45"/>
    <w:rsid w:val="008B7726"/>
    <w:rsid w:val="008D0802"/>
    <w:rsid w:val="00952072"/>
    <w:rsid w:val="009656C1"/>
    <w:rsid w:val="009C3039"/>
    <w:rsid w:val="009F79C0"/>
    <w:rsid w:val="00AE2D56"/>
    <w:rsid w:val="00B92E53"/>
    <w:rsid w:val="00BE2F7D"/>
    <w:rsid w:val="00C83BD8"/>
    <w:rsid w:val="00C9558C"/>
    <w:rsid w:val="00D020B6"/>
    <w:rsid w:val="00D31D50"/>
    <w:rsid w:val="00D67472"/>
    <w:rsid w:val="00E06992"/>
    <w:rsid w:val="00E249E0"/>
    <w:rsid w:val="00F6787F"/>
    <w:rsid w:val="00F961CA"/>
    <w:rsid w:val="00FC631A"/>
    <w:rsid w:val="04216C12"/>
    <w:rsid w:val="056E7771"/>
    <w:rsid w:val="08F02FFD"/>
    <w:rsid w:val="0A6832E7"/>
    <w:rsid w:val="0C835425"/>
    <w:rsid w:val="0CD229E9"/>
    <w:rsid w:val="0D1B7D9A"/>
    <w:rsid w:val="0DC108C7"/>
    <w:rsid w:val="0DC256F2"/>
    <w:rsid w:val="0E0E7C8D"/>
    <w:rsid w:val="121440DC"/>
    <w:rsid w:val="12945722"/>
    <w:rsid w:val="165F659F"/>
    <w:rsid w:val="174E5171"/>
    <w:rsid w:val="177F7B8E"/>
    <w:rsid w:val="1819142E"/>
    <w:rsid w:val="1A3F375B"/>
    <w:rsid w:val="1B202240"/>
    <w:rsid w:val="1B7B5A92"/>
    <w:rsid w:val="1BBD5C63"/>
    <w:rsid w:val="1D6224F5"/>
    <w:rsid w:val="1E9E13A1"/>
    <w:rsid w:val="21EB7C10"/>
    <w:rsid w:val="2302284A"/>
    <w:rsid w:val="23A05E9B"/>
    <w:rsid w:val="29F85070"/>
    <w:rsid w:val="2A7C79C0"/>
    <w:rsid w:val="2B225E65"/>
    <w:rsid w:val="2BCD77EC"/>
    <w:rsid w:val="2D13653D"/>
    <w:rsid w:val="2F2F6FA5"/>
    <w:rsid w:val="32F52CC2"/>
    <w:rsid w:val="35BF673F"/>
    <w:rsid w:val="35EA0749"/>
    <w:rsid w:val="37307FBC"/>
    <w:rsid w:val="389945D7"/>
    <w:rsid w:val="399B5B26"/>
    <w:rsid w:val="3C8D17F0"/>
    <w:rsid w:val="3EB80859"/>
    <w:rsid w:val="3FBF1215"/>
    <w:rsid w:val="41E13054"/>
    <w:rsid w:val="426C7396"/>
    <w:rsid w:val="4AC65E65"/>
    <w:rsid w:val="4C3454FE"/>
    <w:rsid w:val="4EBF142F"/>
    <w:rsid w:val="4F837BA7"/>
    <w:rsid w:val="4FE616B8"/>
    <w:rsid w:val="4FF76E32"/>
    <w:rsid w:val="50671F8A"/>
    <w:rsid w:val="53756BB6"/>
    <w:rsid w:val="55C356B4"/>
    <w:rsid w:val="565D1FD4"/>
    <w:rsid w:val="58D2260D"/>
    <w:rsid w:val="59D944D2"/>
    <w:rsid w:val="5A0548CA"/>
    <w:rsid w:val="5DC57630"/>
    <w:rsid w:val="5FC461FA"/>
    <w:rsid w:val="61CA3656"/>
    <w:rsid w:val="62080FDF"/>
    <w:rsid w:val="65443E71"/>
    <w:rsid w:val="66EF68AF"/>
    <w:rsid w:val="66FC5E97"/>
    <w:rsid w:val="67B87D43"/>
    <w:rsid w:val="692220A1"/>
    <w:rsid w:val="69A62036"/>
    <w:rsid w:val="6A4C0B9A"/>
    <w:rsid w:val="6CD26C28"/>
    <w:rsid w:val="6D8A5F2F"/>
    <w:rsid w:val="6DA86F64"/>
    <w:rsid w:val="6E3C77B4"/>
    <w:rsid w:val="6ECF1001"/>
    <w:rsid w:val="703772B3"/>
    <w:rsid w:val="74B87FFE"/>
    <w:rsid w:val="75AE3E8F"/>
    <w:rsid w:val="777213D4"/>
    <w:rsid w:val="786D2C10"/>
    <w:rsid w:val="79D36DDB"/>
    <w:rsid w:val="7A932F58"/>
    <w:rsid w:val="7B2966FD"/>
    <w:rsid w:val="7EB406C7"/>
    <w:rsid w:val="7EB64AB5"/>
    <w:rsid w:val="7ECF27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</w:pPr>
    <w:rPr>
      <w:b/>
      <w:sz w:val="24"/>
    </w:rPr>
  </w:style>
  <w:style w:type="paragraph" w:styleId="3">
    <w:name w:val="Body Text Indent"/>
    <w:basedOn w:val="1"/>
    <w:qFormat/>
    <w:uiPriority w:val="0"/>
    <w:pPr>
      <w:spacing w:line="480" w:lineRule="exact"/>
      <w:ind w:firstLine="538" w:firstLineChars="192"/>
    </w:pPr>
    <w:rPr>
      <w:rFonts w:ascii="宋体" w:hAnsi="宋体"/>
      <w:sz w:val="28"/>
    </w:rPr>
  </w:style>
  <w:style w:type="paragraph" w:styleId="4">
    <w:name w:val="Body Text Indent 2"/>
    <w:basedOn w:val="1"/>
    <w:qFormat/>
    <w:uiPriority w:val="0"/>
    <w:pPr>
      <w:ind w:firstLine="570"/>
    </w:pPr>
    <w:rPr>
      <w:sz w:val="28"/>
    </w:rPr>
  </w:style>
  <w:style w:type="paragraph" w:styleId="5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Body Text First Indent"/>
    <w:basedOn w:val="2"/>
    <w:qFormat/>
    <w:uiPriority w:val="99"/>
    <w:pPr>
      <w:ind w:firstLine="420" w:firstLineChars="100"/>
    </w:pPr>
  </w:style>
  <w:style w:type="table" w:styleId="9">
    <w:name w:val="Table Grid"/>
    <w:basedOn w:val="8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Default"/>
    <w:basedOn w:val="12"/>
    <w:qFormat/>
    <w:uiPriority w:val="99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kern w:val="0"/>
      <w:sz w:val="24"/>
    </w:rPr>
  </w:style>
  <w:style w:type="paragraph" w:customStyle="1" w:styleId="12">
    <w:name w:val="标题 段落4级"/>
    <w:qFormat/>
    <w:uiPriority w:val="0"/>
    <w:pPr>
      <w:spacing w:line="500" w:lineRule="exact"/>
      <w:outlineLvl w:val="3"/>
    </w:pPr>
    <w:rPr>
      <w:rFonts w:ascii="Times New Roman" w:hAnsi="Times New Roman" w:eastAsia="仿宋_GB2312" w:cs="Calibri"/>
      <w:b/>
      <w:kern w:val="2"/>
      <w:sz w:val="28"/>
      <w:szCs w:val="24"/>
      <w:lang w:val="en-US" w:eastAsia="zh-CN" w:bidi="ar-SA"/>
    </w:rPr>
  </w:style>
  <w:style w:type="character" w:customStyle="1" w:styleId="13">
    <w:name w:val="页眉 Char"/>
    <w:basedOn w:val="10"/>
    <w:link w:val="6"/>
    <w:semiHidden/>
    <w:qFormat/>
    <w:uiPriority w:val="99"/>
    <w:rPr>
      <w:rFonts w:ascii="Tahoma" w:hAnsi="Tahoma" w:eastAsia="微软雅黑" w:cstheme="minorBidi"/>
      <w:sz w:val="18"/>
      <w:szCs w:val="18"/>
    </w:rPr>
  </w:style>
  <w:style w:type="character" w:customStyle="1" w:styleId="14">
    <w:name w:val="页脚 Char"/>
    <w:basedOn w:val="10"/>
    <w:link w:val="5"/>
    <w:semiHidden/>
    <w:qFormat/>
    <w:uiPriority w:val="99"/>
    <w:rPr>
      <w:rFonts w:ascii="Tahoma" w:hAnsi="Tahoma" w:eastAsia="微软雅黑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1084</Words>
  <Characters>1144</Characters>
  <Lines>9</Lines>
  <Paragraphs>2</Paragraphs>
  <TotalTime>0</TotalTime>
  <ScaleCrop>false</ScaleCrop>
  <LinksUpToDate>false</LinksUpToDate>
  <CharactersWithSpaces>1145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赵龙</cp:lastModifiedBy>
  <dcterms:modified xsi:type="dcterms:W3CDTF">2025-11-24T03:06:19Z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554A64AEAC5141E49BC4E86348349A74</vt:lpwstr>
  </property>
  <property fmtid="{D5CDD505-2E9C-101B-9397-08002B2CF9AE}" pid="4" name="KSOTemplateDocerSaveRecord">
    <vt:lpwstr>eyJoZGlkIjoiNDUwMDAxOWVhYjNjZWY1YmY4NThiZWViODY4OGY1NjYiLCJ1c2VySWQiOiIyMzg5ODM4NjkifQ==</vt:lpwstr>
  </property>
</Properties>
</file>