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992"/>
        <w:gridCol w:w="826"/>
        <w:gridCol w:w="841"/>
        <w:gridCol w:w="1397"/>
        <w:gridCol w:w="2862"/>
        <w:gridCol w:w="6439"/>
        <w:gridCol w:w="1197"/>
      </w:tblGrid>
      <w:tr w14:paraId="472C7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E3A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RANGE!A1:F2"/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3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D23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  <w:bookmarkEnd w:id="0"/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F28E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建设地点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FC4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建设单位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135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环境影响评价机构</w:t>
            </w:r>
          </w:p>
        </w:tc>
        <w:tc>
          <w:tcPr>
            <w:tcW w:w="9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5DFF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建设项目概况</w:t>
            </w:r>
          </w:p>
        </w:tc>
        <w:tc>
          <w:tcPr>
            <w:tcW w:w="20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FA1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主要环境影响及预防或减轻不良环境影响的对策和措施</w:t>
            </w:r>
          </w:p>
        </w:tc>
        <w:tc>
          <w:tcPr>
            <w:tcW w:w="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FD4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公众参与情况</w:t>
            </w:r>
          </w:p>
        </w:tc>
      </w:tr>
      <w:tr w14:paraId="4552A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CB982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781AB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唐河县成扬商品混凝土有限公司年产6万方商品混凝土拌合站扩建项目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E0F13"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南阳市唐河县毕店镇毕昌路</w:t>
            </w:r>
          </w:p>
          <w:p w14:paraId="77D413AF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6号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90FEF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唐河县成扬商品混凝土有限公司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F6854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南阳洁萌环保工程有限公司</w:t>
            </w:r>
          </w:p>
        </w:tc>
        <w:tc>
          <w:tcPr>
            <w:tcW w:w="9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FBC95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本次扩建建设单位主要利用现有厂房进行改造扩建，扩建1条年产6万方商品混凝土生产线，总投资150万元，不新增占地，现有工程总占地面积约6028m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。新建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搅拌区、上料区、水泥仓、粉煤灰仓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；工艺流程：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外购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原料--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配比--搅拌--校验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--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成品外售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。</w:t>
            </w:r>
          </w:p>
        </w:tc>
        <w:tc>
          <w:tcPr>
            <w:tcW w:w="20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B107A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1、大气环境</w:t>
            </w:r>
          </w:p>
          <w:p w14:paraId="28C96A54">
            <w:pPr>
              <w:adjustRightInd/>
              <w:snapToGrid/>
              <w:spacing w:after="0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本项目营运期废气主要为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上料、搅拌、筒仓产生的粉尘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。</w:t>
            </w:r>
          </w:p>
          <w:p w14:paraId="09BADC8C">
            <w:pPr>
              <w:pStyle w:val="2"/>
              <w:adjustRightInd/>
              <w:spacing w:line="240" w:lineRule="auto"/>
              <w:ind w:firstLine="420" w:firstLineChars="200"/>
              <w:jc w:val="both"/>
              <w:rPr>
                <w:rFonts w:hint="eastAsia" w:ascii="Times New Roman" w:hAnsi="Times New Roman" w:cs="Times New Roman"/>
                <w:b w:val="0"/>
                <w:sz w:val="21"/>
              </w:rPr>
            </w:pPr>
            <w:r>
              <w:rPr>
                <w:rFonts w:hint="eastAsia" w:ascii="Times New Roman" w:hAnsi="Times New Roman" w:cs="Times New Roman"/>
                <w:b w:val="0"/>
                <w:sz w:val="21"/>
                <w:lang w:val="en-US" w:eastAsia="zh-CN"/>
              </w:rPr>
              <w:t>①上料仓上方设置集气罩，废气经覆膜滤袋除尘器处理后15m排气筒排放；②搅拌机顶部设置引风管，进料、搅拌粉尘通过引风管进入覆膜滤袋除尘器处理后通过15m排气筒排放；</w:t>
            </w:r>
            <w:r>
              <w:rPr>
                <w:rFonts w:hint="default" w:ascii="Times New Roman" w:hAnsi="Times New Roman" w:eastAsia="宋体" w:cs="Times New Roman"/>
                <w:b w:val="0"/>
                <w:sz w:val="21"/>
                <w:lang w:val="en-US" w:eastAsia="zh-CN"/>
              </w:rPr>
              <w:t>③</w:t>
            </w:r>
            <w:r>
              <w:rPr>
                <w:rFonts w:hint="eastAsia" w:ascii="Times New Roman" w:hAnsi="Times New Roman" w:cs="Times New Roman"/>
                <w:b w:val="0"/>
                <w:sz w:val="21"/>
                <w:lang w:val="en-US" w:eastAsia="zh-CN"/>
              </w:rPr>
              <w:t>水泥仓和粉煤灰仓呼吸粉尘经自带仓顶袋式除尘器处理后排放。颗粒物</w:t>
            </w:r>
            <w:r>
              <w:rPr>
                <w:rFonts w:hint="eastAsia" w:ascii="Times New Roman" w:hAnsi="Times New Roman" w:cs="Times New Roman"/>
                <w:b w:val="0"/>
                <w:sz w:val="21"/>
              </w:rPr>
              <w:t>排放浓度能够满足《水泥工业大气污染物排放标准》（DB41/1953-2020）表 1和2标准、《河南省重污染天气重点行业应急减排措施制定技术指南（2024年修订版）“十二、商砼（沥青）搅拌站”A级绩效排放限值要求。</w:t>
            </w:r>
          </w:p>
          <w:p w14:paraId="7F6D81BE">
            <w:pPr>
              <w:adjustRightInd/>
              <w:snapToGrid/>
              <w:spacing w:after="0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经采取以上措施后，项目营运期对周围大气环境影响不大。</w:t>
            </w:r>
          </w:p>
          <w:p w14:paraId="58400586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2、水环境</w:t>
            </w:r>
          </w:p>
          <w:p w14:paraId="19669F52">
            <w:pPr>
              <w:adjustRightInd/>
              <w:snapToGrid/>
              <w:spacing w:after="0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扩建项目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营运期产生的废水主要为运输车辆冲洗废水、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罐车清洗废水、搅拌机清洗废水、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洗砂废水。</w:t>
            </w:r>
          </w:p>
          <w:p w14:paraId="3BB41556">
            <w:pPr>
              <w:adjustRightInd/>
              <w:snapToGrid/>
              <w:spacing w:after="0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车辆冲洗沉淀池扩建为10m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，冲洗废水利用扩建的沉淀池沉淀，循环利用不外排；罐车清洗废水、搅拌机冲洗废水利用砂石分离机+现有77m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三级沉淀池处理，循环利用不外排。</w:t>
            </w:r>
          </w:p>
          <w:p w14:paraId="658C02BA">
            <w:pPr>
              <w:adjustRightInd/>
              <w:snapToGrid/>
              <w:spacing w:after="0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经采取以上措施，项目营运期对周围水环境影响不大。</w:t>
            </w:r>
          </w:p>
          <w:p w14:paraId="1294B777">
            <w:pPr>
              <w:spacing w:after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3、声环境</w:t>
            </w:r>
          </w:p>
          <w:p w14:paraId="362D1933">
            <w:pPr>
              <w:autoSpaceDE w:val="0"/>
              <w:autoSpaceDN w:val="0"/>
              <w:adjustRightInd/>
              <w:snapToGrid/>
              <w:spacing w:after="0"/>
              <w:ind w:firstLine="420" w:firstLineChars="2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本项目营运期噪声主要为上料机、搅拌机、装载机、提升机、风机、空压机等设备运行时产生的机械噪声，噪声源强在75~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>dB（A）之间</w:t>
            </w:r>
            <w:r>
              <w:rPr>
                <w:rFonts w:hint="eastAsia" w:hAnsiTheme="minorEastAsia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此外还有运输车辆交通噪声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>。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通过基础减振、厂房隔声等治理措施，并经距离衰减后，厂界处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昼间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噪声可以满足《工业企业厂界环境噪声排放标准》（GB12348-2008）中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类标准，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对周围环境影响较小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通过门窗隔声、限速、禁止鸣笛等措施，运输车辆交通噪声对敏感点影响较小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。</w:t>
            </w:r>
          </w:p>
          <w:p w14:paraId="006FD4A3">
            <w:pPr>
              <w:spacing w:after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4、固体废物</w:t>
            </w:r>
          </w:p>
          <w:p w14:paraId="12B216CF">
            <w:pPr>
              <w:adjustRightInd/>
              <w:snapToGrid/>
              <w:spacing w:after="0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本项目营运期固体废物主要包括车辆冲洗沉淀池沉渣、砂石分离机砂石、三级沉淀池沉渣和除尘器粉尘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均为一般固废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。</w:t>
            </w:r>
          </w:p>
          <w:p w14:paraId="6097A553">
            <w:pPr>
              <w:adjustRightInd/>
              <w:snapToGrid/>
              <w:spacing w:after="0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一般固废：①除尘器粉尘回用于生产；②车辆冲洗沉淀池沉渣收集后暂存于现有一般固废间（20m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），交由环卫部门处理；③砂石分离机砂石回用于生产。④三级沉淀池沉渣进行板框压滤，暂存于现有一般固废间（20m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），定期外售作为建筑材料。</w:t>
            </w:r>
          </w:p>
          <w:p w14:paraId="4D240363">
            <w:pPr>
              <w:adjustRightInd/>
              <w:snapToGrid/>
              <w:spacing w:after="0"/>
              <w:ind w:firstLine="42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在采取上述污染防治措施后，本项目所产生的固体废物均可得到合理、有效的处理和处置，其产生的固体废弃物不会对周围环境造成二次污染。固体废物在得到妥善处置后预计对环境影响较小，可以接受。</w:t>
            </w:r>
            <w:bookmarkStart w:id="1" w:name="_GoBack"/>
            <w:bookmarkEnd w:id="1"/>
          </w:p>
        </w:tc>
        <w:tc>
          <w:tcPr>
            <w:tcW w:w="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D6302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/</w:t>
            </w:r>
          </w:p>
        </w:tc>
      </w:tr>
    </w:tbl>
    <w:p w14:paraId="4B318EF2">
      <w:pPr>
        <w:spacing w:line="220" w:lineRule="atLeast"/>
      </w:pPr>
    </w:p>
    <w:sectPr>
      <w:pgSz w:w="16838" w:h="11906" w:orient="landscape"/>
      <w:pgMar w:top="1797" w:right="851" w:bottom="1797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B19AB"/>
    <w:rsid w:val="001E711F"/>
    <w:rsid w:val="002329D3"/>
    <w:rsid w:val="00253239"/>
    <w:rsid w:val="002F670B"/>
    <w:rsid w:val="00323B43"/>
    <w:rsid w:val="003A59E8"/>
    <w:rsid w:val="003D37D8"/>
    <w:rsid w:val="003D515D"/>
    <w:rsid w:val="00426133"/>
    <w:rsid w:val="004358AB"/>
    <w:rsid w:val="004542BC"/>
    <w:rsid w:val="004B16D8"/>
    <w:rsid w:val="004F7F69"/>
    <w:rsid w:val="005B1557"/>
    <w:rsid w:val="005E2815"/>
    <w:rsid w:val="006043CB"/>
    <w:rsid w:val="00685FE2"/>
    <w:rsid w:val="00783A45"/>
    <w:rsid w:val="008B7726"/>
    <w:rsid w:val="008D0802"/>
    <w:rsid w:val="00952072"/>
    <w:rsid w:val="009656C1"/>
    <w:rsid w:val="009C3039"/>
    <w:rsid w:val="009F79C0"/>
    <w:rsid w:val="00AE2D56"/>
    <w:rsid w:val="00B92E53"/>
    <w:rsid w:val="00BE2F7D"/>
    <w:rsid w:val="00C83BD8"/>
    <w:rsid w:val="00C9558C"/>
    <w:rsid w:val="00D020B6"/>
    <w:rsid w:val="00D31D50"/>
    <w:rsid w:val="00D67472"/>
    <w:rsid w:val="00E06992"/>
    <w:rsid w:val="00E249E0"/>
    <w:rsid w:val="00F6787F"/>
    <w:rsid w:val="00F961CA"/>
    <w:rsid w:val="00FC631A"/>
    <w:rsid w:val="04216C12"/>
    <w:rsid w:val="056E7771"/>
    <w:rsid w:val="08F02FFD"/>
    <w:rsid w:val="0A6832E7"/>
    <w:rsid w:val="0C835425"/>
    <w:rsid w:val="0CD229E9"/>
    <w:rsid w:val="0D1B7D9A"/>
    <w:rsid w:val="0DC108C7"/>
    <w:rsid w:val="0DC256F2"/>
    <w:rsid w:val="0E0E7C8D"/>
    <w:rsid w:val="121440DC"/>
    <w:rsid w:val="12945722"/>
    <w:rsid w:val="165F659F"/>
    <w:rsid w:val="174E5171"/>
    <w:rsid w:val="177F7B8E"/>
    <w:rsid w:val="1819142E"/>
    <w:rsid w:val="1A3F375B"/>
    <w:rsid w:val="1B202240"/>
    <w:rsid w:val="1B7B5A92"/>
    <w:rsid w:val="1BBD5C63"/>
    <w:rsid w:val="1D6224F5"/>
    <w:rsid w:val="1E9E13A1"/>
    <w:rsid w:val="21EB7C10"/>
    <w:rsid w:val="2302284A"/>
    <w:rsid w:val="23A05E9B"/>
    <w:rsid w:val="29F85070"/>
    <w:rsid w:val="2A7C79C0"/>
    <w:rsid w:val="2B225E65"/>
    <w:rsid w:val="2BCD77EC"/>
    <w:rsid w:val="2D13653D"/>
    <w:rsid w:val="2F2F6FA5"/>
    <w:rsid w:val="32F52CC2"/>
    <w:rsid w:val="35BF673F"/>
    <w:rsid w:val="35EA0749"/>
    <w:rsid w:val="37307FBC"/>
    <w:rsid w:val="389945D7"/>
    <w:rsid w:val="399B5B26"/>
    <w:rsid w:val="3C8D17F0"/>
    <w:rsid w:val="3EB80859"/>
    <w:rsid w:val="3FBF1215"/>
    <w:rsid w:val="41E13054"/>
    <w:rsid w:val="426C7396"/>
    <w:rsid w:val="4AC65E65"/>
    <w:rsid w:val="4C3454FE"/>
    <w:rsid w:val="4EBF142F"/>
    <w:rsid w:val="4F837BA7"/>
    <w:rsid w:val="4FE616B8"/>
    <w:rsid w:val="4FF76E32"/>
    <w:rsid w:val="50671F8A"/>
    <w:rsid w:val="53756BB6"/>
    <w:rsid w:val="55C356B4"/>
    <w:rsid w:val="565D1FD4"/>
    <w:rsid w:val="58D2260D"/>
    <w:rsid w:val="59D944D2"/>
    <w:rsid w:val="5A0548CA"/>
    <w:rsid w:val="5DC57630"/>
    <w:rsid w:val="5FC461FA"/>
    <w:rsid w:val="61CA3656"/>
    <w:rsid w:val="62080FDF"/>
    <w:rsid w:val="66EF68AF"/>
    <w:rsid w:val="66FC5E97"/>
    <w:rsid w:val="67B87D43"/>
    <w:rsid w:val="692220A1"/>
    <w:rsid w:val="69A62036"/>
    <w:rsid w:val="6A4C0B9A"/>
    <w:rsid w:val="6CD26C28"/>
    <w:rsid w:val="6D8A5F2F"/>
    <w:rsid w:val="6DA86F64"/>
    <w:rsid w:val="6E3C77B4"/>
    <w:rsid w:val="6ECF1001"/>
    <w:rsid w:val="703772B3"/>
    <w:rsid w:val="74B87FFE"/>
    <w:rsid w:val="75AE3E8F"/>
    <w:rsid w:val="777213D4"/>
    <w:rsid w:val="786D2C10"/>
    <w:rsid w:val="79D36DDB"/>
    <w:rsid w:val="7A932F58"/>
    <w:rsid w:val="7B2966FD"/>
    <w:rsid w:val="7EB406C7"/>
    <w:rsid w:val="7EB64AB5"/>
    <w:rsid w:val="7ECF27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99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</w:rPr>
  </w:style>
  <w:style w:type="paragraph" w:customStyle="1" w:styleId="3">
    <w:name w:val="标题 段落4级"/>
    <w:qFormat/>
    <w:uiPriority w:val="0"/>
    <w:pPr>
      <w:spacing w:line="500" w:lineRule="exact"/>
      <w:outlineLvl w:val="3"/>
    </w:pPr>
    <w:rPr>
      <w:rFonts w:ascii="Times New Roman" w:hAnsi="Times New Roman" w:eastAsia="仿宋_GB2312" w:cs="Calibri"/>
      <w:b/>
      <w:kern w:val="2"/>
      <w:sz w:val="28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60" w:lineRule="auto"/>
    </w:pPr>
    <w:rPr>
      <w:b/>
      <w:sz w:val="24"/>
    </w:rPr>
  </w:style>
  <w:style w:type="paragraph" w:styleId="5">
    <w:name w:val="Body Text Indent"/>
    <w:basedOn w:val="1"/>
    <w:qFormat/>
    <w:uiPriority w:val="0"/>
    <w:pPr>
      <w:spacing w:line="480" w:lineRule="exact"/>
      <w:ind w:firstLine="538" w:firstLineChars="192"/>
    </w:pPr>
    <w:rPr>
      <w:rFonts w:ascii="宋体" w:hAnsi="宋体"/>
      <w:sz w:val="28"/>
    </w:rPr>
  </w:style>
  <w:style w:type="paragraph" w:styleId="6">
    <w:name w:val="Body Text Indent 2"/>
    <w:basedOn w:val="1"/>
    <w:qFormat/>
    <w:uiPriority w:val="0"/>
    <w:pPr>
      <w:ind w:firstLine="570"/>
    </w:pPr>
    <w:rPr>
      <w:sz w:val="28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Body Text First Indent"/>
    <w:basedOn w:val="4"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4">
    <w:name w:val="页脚 Char"/>
    <w:basedOn w:val="12"/>
    <w:link w:val="7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1093</Words>
  <Characters>1176</Characters>
  <Lines>9</Lines>
  <Paragraphs>2</Paragraphs>
  <TotalTime>0</TotalTime>
  <ScaleCrop>false</ScaleCrop>
  <LinksUpToDate>false</LinksUpToDate>
  <CharactersWithSpaces>1176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赵龙</cp:lastModifiedBy>
  <dcterms:modified xsi:type="dcterms:W3CDTF">2025-05-06T05:02:57Z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554A64AEAC5141E49BC4E86348349A74</vt:lpwstr>
  </property>
  <property fmtid="{D5CDD505-2E9C-101B-9397-08002B2CF9AE}" pid="4" name="KSOTemplateDocerSaveRecord">
    <vt:lpwstr>eyJoZGlkIjoiNDUwMDAxOWVhYjNjZWY1YmY4NThiZWViODY4OGY1NjYiLCJ1c2VySWQiOiIyMzg5ODM4NjkifQ==</vt:lpwstr>
  </property>
</Properties>
</file>