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992"/>
        <w:gridCol w:w="826"/>
        <w:gridCol w:w="841"/>
        <w:gridCol w:w="1397"/>
        <w:gridCol w:w="2862"/>
        <w:gridCol w:w="6439"/>
        <w:gridCol w:w="1197"/>
      </w:tblGrid>
      <w:tr w14:paraId="472C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8" w:type="pct"/>
            <w:tcBorders>
              <w:tl2br w:val="nil"/>
              <w:tr2bl w:val="nil"/>
            </w:tcBorders>
            <w:shd w:val="clear" w:color="auto" w:fill="auto"/>
            <w:vAlign w:val="center"/>
          </w:tcPr>
          <w:p w14:paraId="522E3A56">
            <w:pPr>
              <w:adjustRightInd/>
              <w:snapToGrid/>
              <w:spacing w:after="0"/>
              <w:jc w:val="center"/>
              <w:rPr>
                <w:rFonts w:ascii="宋体" w:hAnsi="宋体" w:eastAsia="宋体" w:cs="宋体"/>
                <w:sz w:val="28"/>
                <w:szCs w:val="28"/>
              </w:rPr>
            </w:pPr>
            <w:bookmarkStart w:id="0" w:name="RANGE!A1:F2"/>
            <w:r>
              <w:rPr>
                <w:rFonts w:hint="eastAsia" w:ascii="宋体" w:hAnsi="宋体" w:eastAsia="宋体" w:cs="宋体"/>
                <w:sz w:val="28"/>
                <w:szCs w:val="28"/>
              </w:rPr>
              <w:t>序号</w:t>
            </w:r>
          </w:p>
        </w:tc>
        <w:tc>
          <w:tcPr>
            <w:tcW w:w="323" w:type="pct"/>
            <w:tcBorders>
              <w:tl2br w:val="nil"/>
              <w:tr2bl w:val="nil"/>
            </w:tcBorders>
            <w:shd w:val="clear" w:color="auto" w:fill="auto"/>
            <w:vAlign w:val="center"/>
          </w:tcPr>
          <w:p w14:paraId="35DD2397">
            <w:pPr>
              <w:adjustRightInd/>
              <w:snapToGrid/>
              <w:spacing w:after="0"/>
              <w:jc w:val="center"/>
              <w:rPr>
                <w:rFonts w:ascii="宋体" w:hAnsi="宋体" w:eastAsia="宋体" w:cs="宋体"/>
                <w:sz w:val="28"/>
                <w:szCs w:val="28"/>
              </w:rPr>
            </w:pPr>
            <w:r>
              <w:rPr>
                <w:rFonts w:hint="eastAsia" w:ascii="宋体" w:hAnsi="宋体" w:eastAsia="宋体" w:cs="宋体"/>
                <w:sz w:val="28"/>
                <w:szCs w:val="28"/>
              </w:rPr>
              <w:t>项目名称</w:t>
            </w:r>
            <w:bookmarkEnd w:id="0"/>
          </w:p>
        </w:tc>
        <w:tc>
          <w:tcPr>
            <w:tcW w:w="269" w:type="pct"/>
            <w:tcBorders>
              <w:tl2br w:val="nil"/>
              <w:tr2bl w:val="nil"/>
            </w:tcBorders>
            <w:shd w:val="clear" w:color="auto" w:fill="auto"/>
            <w:vAlign w:val="center"/>
          </w:tcPr>
          <w:p w14:paraId="55AF28EE">
            <w:pPr>
              <w:adjustRightInd/>
              <w:snapToGrid/>
              <w:spacing w:after="0"/>
              <w:jc w:val="center"/>
              <w:rPr>
                <w:rFonts w:ascii="宋体" w:hAnsi="宋体" w:eastAsia="宋体" w:cs="宋体"/>
                <w:sz w:val="28"/>
                <w:szCs w:val="28"/>
              </w:rPr>
            </w:pPr>
            <w:r>
              <w:rPr>
                <w:rFonts w:hint="eastAsia" w:ascii="宋体" w:hAnsi="宋体" w:eastAsia="宋体" w:cs="宋体"/>
                <w:sz w:val="28"/>
                <w:szCs w:val="28"/>
              </w:rPr>
              <w:t>建设地点</w:t>
            </w:r>
          </w:p>
        </w:tc>
        <w:tc>
          <w:tcPr>
            <w:tcW w:w="274" w:type="pct"/>
            <w:tcBorders>
              <w:tl2br w:val="nil"/>
              <w:tr2bl w:val="nil"/>
            </w:tcBorders>
            <w:shd w:val="clear" w:color="auto" w:fill="auto"/>
            <w:vAlign w:val="center"/>
          </w:tcPr>
          <w:p w14:paraId="2F8FC443">
            <w:pPr>
              <w:adjustRightInd/>
              <w:snapToGrid/>
              <w:spacing w:after="0"/>
              <w:jc w:val="center"/>
              <w:rPr>
                <w:rFonts w:ascii="宋体" w:hAnsi="宋体" w:eastAsia="宋体" w:cs="宋体"/>
                <w:sz w:val="28"/>
                <w:szCs w:val="28"/>
              </w:rPr>
            </w:pPr>
            <w:r>
              <w:rPr>
                <w:rFonts w:hint="eastAsia" w:ascii="宋体" w:hAnsi="宋体" w:eastAsia="宋体" w:cs="宋体"/>
                <w:sz w:val="28"/>
                <w:szCs w:val="28"/>
              </w:rPr>
              <w:t>建设单位</w:t>
            </w:r>
          </w:p>
        </w:tc>
        <w:tc>
          <w:tcPr>
            <w:tcW w:w="455" w:type="pct"/>
            <w:tcBorders>
              <w:tl2br w:val="nil"/>
              <w:tr2bl w:val="nil"/>
            </w:tcBorders>
            <w:shd w:val="clear" w:color="auto" w:fill="auto"/>
            <w:vAlign w:val="center"/>
          </w:tcPr>
          <w:p w14:paraId="4AF13555">
            <w:pPr>
              <w:adjustRightInd/>
              <w:snapToGrid/>
              <w:spacing w:after="0"/>
              <w:jc w:val="center"/>
              <w:rPr>
                <w:rFonts w:ascii="宋体" w:hAnsi="宋体" w:eastAsia="宋体" w:cs="宋体"/>
                <w:sz w:val="28"/>
                <w:szCs w:val="28"/>
              </w:rPr>
            </w:pPr>
            <w:r>
              <w:rPr>
                <w:rFonts w:hint="eastAsia" w:ascii="宋体" w:hAnsi="宋体" w:eastAsia="宋体" w:cs="宋体"/>
                <w:sz w:val="28"/>
                <w:szCs w:val="28"/>
              </w:rPr>
              <w:t>环境影响评价机构</w:t>
            </w:r>
          </w:p>
        </w:tc>
        <w:tc>
          <w:tcPr>
            <w:tcW w:w="932" w:type="pct"/>
            <w:tcBorders>
              <w:tl2br w:val="nil"/>
              <w:tr2bl w:val="nil"/>
            </w:tcBorders>
            <w:shd w:val="clear" w:color="auto" w:fill="auto"/>
            <w:vAlign w:val="center"/>
          </w:tcPr>
          <w:p w14:paraId="0F5DFF16">
            <w:pPr>
              <w:adjustRightInd/>
              <w:snapToGrid/>
              <w:spacing w:after="0"/>
              <w:jc w:val="center"/>
              <w:rPr>
                <w:rFonts w:ascii="宋体" w:hAnsi="宋体" w:eastAsia="宋体" w:cs="宋体"/>
                <w:sz w:val="28"/>
                <w:szCs w:val="28"/>
              </w:rPr>
            </w:pPr>
            <w:r>
              <w:rPr>
                <w:rFonts w:hint="eastAsia" w:ascii="宋体" w:hAnsi="宋体" w:eastAsia="宋体" w:cs="宋体"/>
                <w:sz w:val="28"/>
                <w:szCs w:val="28"/>
              </w:rPr>
              <w:t>建设项目概况</w:t>
            </w:r>
          </w:p>
        </w:tc>
        <w:tc>
          <w:tcPr>
            <w:tcW w:w="2097" w:type="pct"/>
            <w:tcBorders>
              <w:tl2br w:val="nil"/>
              <w:tr2bl w:val="nil"/>
            </w:tcBorders>
            <w:shd w:val="clear" w:color="auto" w:fill="auto"/>
            <w:vAlign w:val="center"/>
          </w:tcPr>
          <w:p w14:paraId="595FA199">
            <w:pPr>
              <w:adjustRightInd/>
              <w:snapToGrid/>
              <w:spacing w:after="0"/>
              <w:jc w:val="center"/>
              <w:rPr>
                <w:rFonts w:ascii="宋体" w:hAnsi="宋体" w:eastAsia="宋体" w:cs="宋体"/>
                <w:sz w:val="28"/>
                <w:szCs w:val="28"/>
              </w:rPr>
            </w:pPr>
            <w:r>
              <w:rPr>
                <w:rFonts w:hint="eastAsia" w:ascii="宋体" w:hAnsi="宋体" w:eastAsia="宋体" w:cs="宋体"/>
                <w:sz w:val="28"/>
                <w:szCs w:val="28"/>
              </w:rPr>
              <w:t>主要环境影响及预防或减轻不良环境影响的对策和措施</w:t>
            </w:r>
          </w:p>
        </w:tc>
        <w:tc>
          <w:tcPr>
            <w:tcW w:w="390" w:type="pct"/>
            <w:tcBorders>
              <w:tl2br w:val="nil"/>
              <w:tr2bl w:val="nil"/>
            </w:tcBorders>
            <w:shd w:val="clear" w:color="auto" w:fill="auto"/>
            <w:vAlign w:val="center"/>
          </w:tcPr>
          <w:p w14:paraId="30FFD4C2">
            <w:pPr>
              <w:adjustRightInd/>
              <w:snapToGrid/>
              <w:spacing w:after="0"/>
              <w:jc w:val="center"/>
              <w:rPr>
                <w:rFonts w:ascii="宋体" w:hAnsi="宋体" w:eastAsia="宋体" w:cs="宋体"/>
                <w:sz w:val="28"/>
                <w:szCs w:val="28"/>
              </w:rPr>
            </w:pPr>
            <w:r>
              <w:rPr>
                <w:rFonts w:hint="eastAsia" w:ascii="宋体" w:hAnsi="宋体" w:eastAsia="宋体" w:cs="宋体"/>
                <w:sz w:val="28"/>
                <w:szCs w:val="28"/>
              </w:rPr>
              <w:t>公众参与情况</w:t>
            </w:r>
          </w:p>
        </w:tc>
      </w:tr>
      <w:tr w14:paraId="4552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258" w:type="pct"/>
            <w:tcBorders>
              <w:tl2br w:val="nil"/>
              <w:tr2bl w:val="nil"/>
            </w:tcBorders>
            <w:shd w:val="clear" w:color="auto" w:fill="auto"/>
            <w:vAlign w:val="center"/>
          </w:tcPr>
          <w:p w14:paraId="705CB982">
            <w:pPr>
              <w:adjustRightInd/>
              <w:snapToGrid/>
              <w:spacing w:after="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323" w:type="pct"/>
            <w:tcBorders>
              <w:tl2br w:val="nil"/>
              <w:tr2bl w:val="nil"/>
            </w:tcBorders>
            <w:shd w:val="clear" w:color="auto" w:fill="auto"/>
            <w:vAlign w:val="center"/>
          </w:tcPr>
          <w:p w14:paraId="335781AB">
            <w:pPr>
              <w:adjustRightInd/>
              <w:snapToGrid/>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南阳辉熠铝业科技有限公司年产5000吨铝棒建设项目</w:t>
            </w:r>
          </w:p>
        </w:tc>
        <w:tc>
          <w:tcPr>
            <w:tcW w:w="269" w:type="pct"/>
            <w:tcBorders>
              <w:tl2br w:val="nil"/>
              <w:tr2bl w:val="nil"/>
            </w:tcBorders>
            <w:shd w:val="clear" w:color="auto" w:fill="auto"/>
            <w:vAlign w:val="center"/>
          </w:tcPr>
          <w:p w14:paraId="77D413AF">
            <w:pPr>
              <w:adjustRightInd/>
              <w:snapToGrid/>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河南省南阳市唐河县兴达路与台北路交叉口力泰阀门公司内</w:t>
            </w:r>
          </w:p>
        </w:tc>
        <w:tc>
          <w:tcPr>
            <w:tcW w:w="274" w:type="pct"/>
            <w:tcBorders>
              <w:tl2br w:val="nil"/>
              <w:tr2bl w:val="nil"/>
            </w:tcBorders>
            <w:shd w:val="clear" w:color="auto" w:fill="auto"/>
            <w:vAlign w:val="center"/>
          </w:tcPr>
          <w:p w14:paraId="19890FEF">
            <w:pPr>
              <w:adjustRightInd/>
              <w:snapToGrid/>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南阳辉熠铝业科技有限公司</w:t>
            </w:r>
          </w:p>
        </w:tc>
        <w:tc>
          <w:tcPr>
            <w:tcW w:w="455" w:type="pct"/>
            <w:tcBorders>
              <w:tl2br w:val="nil"/>
              <w:tr2bl w:val="nil"/>
            </w:tcBorders>
            <w:shd w:val="clear" w:color="auto" w:fill="auto"/>
            <w:vAlign w:val="center"/>
          </w:tcPr>
          <w:p w14:paraId="57BF6854">
            <w:pPr>
              <w:adjustRightInd/>
              <w:snapToGrid/>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南阳洁萌环保工程有限公司</w:t>
            </w:r>
          </w:p>
        </w:tc>
        <w:tc>
          <w:tcPr>
            <w:tcW w:w="932" w:type="pct"/>
            <w:tcBorders>
              <w:tl2br w:val="nil"/>
              <w:tr2bl w:val="nil"/>
            </w:tcBorders>
            <w:shd w:val="clear" w:color="auto" w:fill="auto"/>
            <w:vAlign w:val="center"/>
          </w:tcPr>
          <w:p w14:paraId="28EFBC95">
            <w:pPr>
              <w:adjustRightInd/>
              <w:snapToGrid/>
              <w:spacing w:after="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租用现有场地和厂房建设年产5000吨铝棒建设项目，以外购铝锭为主要原材料，购置熔炼炉、炒灰机、锯切机等主要生产设备，建设铝棒生产线1条（产量5000t/a），项目投产后可达到年产5000吨铝棒的生产规模。主要工艺流程为：外购原材料铝锭--装炉熔化--加入打渣剂打渣--添加硅、镁、铜调节合金成分--铝水结晶成铝棒--锯切--成品铝棒。</w:t>
            </w:r>
          </w:p>
        </w:tc>
        <w:tc>
          <w:tcPr>
            <w:tcW w:w="2097" w:type="pct"/>
            <w:tcBorders>
              <w:tl2br w:val="nil"/>
              <w:tr2bl w:val="nil"/>
            </w:tcBorders>
            <w:shd w:val="clear" w:color="auto" w:fill="auto"/>
            <w:vAlign w:val="center"/>
          </w:tcPr>
          <w:p w14:paraId="697B107A">
            <w:pPr>
              <w:adjustRightInd/>
              <w:snapToGrid/>
              <w:spacing w:after="0"/>
              <w:rPr>
                <w:rFonts w:hint="eastAsia" w:ascii="Times New Roman" w:hAnsi="Times New Roman" w:eastAsia="宋体" w:cs="Times New Roman"/>
                <w:b w:val="0"/>
                <w:bCs/>
                <w:color w:val="000000"/>
                <w:kern w:val="0"/>
                <w:sz w:val="21"/>
                <w:szCs w:val="21"/>
                <w:lang w:val="en-US" w:eastAsia="zh-CN" w:bidi="ar-SA"/>
              </w:rPr>
            </w:pPr>
            <w:r>
              <w:rPr>
                <w:rFonts w:hint="eastAsia" w:ascii="Times New Roman" w:hAnsi="Times New Roman" w:eastAsia="宋体" w:cs="Times New Roman"/>
                <w:b w:val="0"/>
                <w:bCs/>
                <w:color w:val="000000"/>
                <w:kern w:val="0"/>
                <w:sz w:val="21"/>
                <w:szCs w:val="21"/>
                <w:lang w:val="en-US" w:eastAsia="zh-CN" w:bidi="ar-SA"/>
              </w:rPr>
              <w:t>1、大气环境</w:t>
            </w:r>
          </w:p>
          <w:p w14:paraId="28C96A54">
            <w:pPr>
              <w:adjustRightInd/>
              <w:snapToGrid/>
              <w:spacing w:after="0"/>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本项目废气主要为天然气燃烧废气、熔炼废气、炒灰废气、铝棒锯切粉尘等。</w:t>
            </w:r>
          </w:p>
          <w:p w14:paraId="09BADC8C">
            <w:pPr>
              <w:pStyle w:val="2"/>
              <w:adjustRightInd/>
              <w:spacing w:line="240" w:lineRule="auto"/>
              <w:ind w:firstLine="420" w:firstLineChars="200"/>
              <w:jc w:val="both"/>
              <w:rPr>
                <w:rFonts w:hint="eastAsia" w:ascii="Times New Roman" w:hAnsi="Times New Roman" w:cs="Times New Roman"/>
                <w:b w:val="0"/>
                <w:sz w:val="21"/>
              </w:rPr>
            </w:pPr>
            <w:r>
              <w:rPr>
                <w:rFonts w:hint="eastAsia" w:ascii="Times New Roman" w:hAnsi="Times New Roman" w:cs="Times New Roman"/>
                <w:b w:val="0"/>
                <w:sz w:val="21"/>
                <w:lang w:val="en-US" w:eastAsia="zh-CN"/>
              </w:rPr>
              <w:t>熔炼炉顶部设有集气管道，收集熔炉过程的废气，并在熔炼炉整体外侧设置半封闭集气罩收集开门过程逸散的废气；炒灰车间进行二次封闭，连接集气管道负压抽风收集含尘气体，在炒灰机进出料口设置集气管道；熔炼废气和炒灰粉尘经收集后经1套耐高温覆膜布袋除尘器（TA001）处理后经一根15m高排气筒（DA001）高空排放。废气</w:t>
            </w:r>
            <w:r>
              <w:rPr>
                <w:rFonts w:hint="eastAsia" w:ascii="Times New Roman" w:hAnsi="Times New Roman" w:cs="Times New Roman"/>
                <w:b w:val="0"/>
                <w:sz w:val="21"/>
              </w:rPr>
              <w:t>排放浓度能够满足河南省《工业炉窑大气污染物排放标准》（DB41/1066—2020）、《重污染天气重点行业应急减排措施制定技术指南》 （2020 年修订版）有色金属压延行业A级绩效排放限值要求</w:t>
            </w:r>
            <w:r>
              <w:rPr>
                <w:rFonts w:hint="eastAsia" w:ascii="Times New Roman" w:hAnsi="Times New Roman" w:cs="Times New Roman"/>
                <w:b w:val="0"/>
                <w:sz w:val="21"/>
                <w:lang w:eastAsia="zh-CN"/>
              </w:rPr>
              <w:t>、《大气污染物综合排放标准》（GB16297-1996）表2二级标准</w:t>
            </w:r>
            <w:r>
              <w:rPr>
                <w:rFonts w:hint="eastAsia" w:ascii="Times New Roman" w:hAnsi="Times New Roman" w:cs="Times New Roman"/>
                <w:b w:val="0"/>
                <w:sz w:val="21"/>
              </w:rPr>
              <w:t>。</w:t>
            </w:r>
          </w:p>
          <w:p w14:paraId="7F6D81BE">
            <w:pPr>
              <w:adjustRightInd/>
              <w:snapToGrid/>
              <w:spacing w:after="0"/>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经采取以上措施后，项目营运期对周围大气环境影响不大。</w:t>
            </w:r>
          </w:p>
          <w:p w14:paraId="58400586">
            <w:pPr>
              <w:adjustRightInd/>
              <w:snapToGrid/>
              <w:spacing w:after="0"/>
              <w:rPr>
                <w:rFonts w:hint="eastAsia" w:ascii="Times New Roman" w:hAnsi="Times New Roman" w:eastAsia="宋体" w:cs="Times New Roman"/>
                <w:b w:val="0"/>
                <w:bCs/>
                <w:color w:val="000000"/>
                <w:kern w:val="0"/>
                <w:sz w:val="21"/>
                <w:szCs w:val="21"/>
                <w:lang w:val="en-US" w:eastAsia="zh-CN" w:bidi="ar-SA"/>
              </w:rPr>
            </w:pPr>
            <w:r>
              <w:rPr>
                <w:rFonts w:hint="eastAsia" w:ascii="Times New Roman" w:hAnsi="Times New Roman" w:eastAsia="宋体" w:cs="Times New Roman"/>
                <w:b w:val="0"/>
                <w:bCs/>
                <w:color w:val="000000"/>
                <w:kern w:val="0"/>
                <w:sz w:val="21"/>
                <w:szCs w:val="21"/>
                <w:lang w:val="en-US" w:eastAsia="zh-CN" w:bidi="ar-SA"/>
              </w:rPr>
              <w:t>2、水环境</w:t>
            </w:r>
          </w:p>
          <w:p w14:paraId="3BB41556">
            <w:pPr>
              <w:adjustRightInd/>
              <w:snapToGrid/>
              <w:spacing w:after="0"/>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营运近期生活污水经厂区现有化粪池处理后定期清掏用于周边农田肥田，中远期依托污水管网进入唐河县第四污水处理厂处理；冷却水定期补充，经过冷却水塔循环利用不外排</w:t>
            </w:r>
            <w:r>
              <w:rPr>
                <w:rFonts w:hint="eastAsia" w:ascii="Times New Roman" w:hAnsi="Times New Roman" w:eastAsia="宋体" w:cs="Times New Roman"/>
                <w:sz w:val="21"/>
                <w:szCs w:val="21"/>
              </w:rPr>
              <w:t>。</w:t>
            </w:r>
          </w:p>
          <w:p w14:paraId="658C02BA">
            <w:pPr>
              <w:adjustRightInd/>
              <w:snapToGrid/>
              <w:spacing w:after="0"/>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经采取以上措施，项目营运期对周围水环境影响不大。</w:t>
            </w:r>
          </w:p>
          <w:p w14:paraId="1294B777">
            <w:pPr>
              <w:adjustRightInd/>
              <w:snapToGrid/>
              <w:spacing w:after="0"/>
              <w:rPr>
                <w:rFonts w:hint="eastAsia" w:ascii="Times New Roman" w:hAnsi="Times New Roman" w:eastAsia="宋体" w:cs="Times New Roman"/>
                <w:b w:val="0"/>
                <w:bCs/>
                <w:color w:val="000000"/>
                <w:kern w:val="0"/>
                <w:sz w:val="21"/>
                <w:szCs w:val="21"/>
                <w:lang w:val="en-US" w:eastAsia="zh-CN" w:bidi="ar-SA"/>
              </w:rPr>
            </w:pPr>
            <w:r>
              <w:rPr>
                <w:rFonts w:hint="eastAsia" w:ascii="Times New Roman" w:hAnsi="Times New Roman" w:eastAsia="宋体" w:cs="Times New Roman"/>
                <w:b w:val="0"/>
                <w:bCs/>
                <w:color w:val="000000"/>
                <w:kern w:val="0"/>
                <w:sz w:val="21"/>
                <w:szCs w:val="21"/>
                <w:lang w:val="en-US" w:eastAsia="zh-CN" w:bidi="ar-SA"/>
              </w:rPr>
              <w:t>3、声环境</w:t>
            </w:r>
          </w:p>
          <w:p w14:paraId="362D1933">
            <w:pPr>
              <w:autoSpaceDE w:val="0"/>
              <w:autoSpaceDN w:val="0"/>
              <w:adjustRightInd/>
              <w:snapToGrid/>
              <w:spacing w:after="0"/>
              <w:ind w:firstLine="420" w:firstLineChars="200"/>
              <w:jc w:val="both"/>
              <w:rPr>
                <w:rFonts w:ascii="Times New Roman" w:hAnsi="Times New Roman" w:eastAsia="宋体" w:cs="Times New Roman"/>
                <w:sz w:val="21"/>
                <w:szCs w:val="21"/>
              </w:rPr>
            </w:pPr>
            <w:r>
              <w:rPr>
                <w:rFonts w:hint="eastAsia" w:hAnsiTheme="minorEastAsia" w:eastAsiaTheme="minorEastAsia"/>
                <w:sz w:val="21"/>
                <w:szCs w:val="21"/>
              </w:rPr>
              <w:t>本项目营运期噪声主要为</w:t>
            </w:r>
            <w:r>
              <w:rPr>
                <w:rFonts w:hint="eastAsia" w:hAnsiTheme="minorEastAsia" w:eastAsiaTheme="minorEastAsia"/>
                <w:sz w:val="21"/>
                <w:szCs w:val="21"/>
                <w:lang w:val="en-US" w:eastAsia="zh-CN"/>
              </w:rPr>
              <w:t>然气熔炼炉、拉拔机、炒灰机、锯切机、风机、空压机、冷却塔、制氮机机械设备运行时产生的噪声</w:t>
            </w:r>
            <w:r>
              <w:rPr>
                <w:rFonts w:hint="eastAsia" w:hAnsiTheme="minorEastAsia" w:eastAsiaTheme="minorEastAsia"/>
                <w:sz w:val="21"/>
                <w:szCs w:val="21"/>
              </w:rPr>
              <w:t>，噪声源强在</w:t>
            </w:r>
            <w:r>
              <w:rPr>
                <w:rFonts w:hint="eastAsia" w:hAnsiTheme="minorEastAsia" w:eastAsiaTheme="minorEastAsia"/>
                <w:sz w:val="21"/>
                <w:szCs w:val="21"/>
                <w:lang w:val="en-US" w:eastAsia="zh-CN"/>
              </w:rPr>
              <w:t>70</w:t>
            </w:r>
            <w:r>
              <w:rPr>
                <w:rFonts w:hint="eastAsia" w:hAnsiTheme="minorEastAsia" w:eastAsiaTheme="minorEastAsia"/>
                <w:sz w:val="21"/>
                <w:szCs w:val="21"/>
              </w:rPr>
              <w:t>~</w:t>
            </w:r>
            <w:r>
              <w:rPr>
                <w:rFonts w:hint="eastAsia" w:hAnsiTheme="minorEastAsia" w:eastAsiaTheme="minorEastAsia"/>
                <w:sz w:val="21"/>
                <w:szCs w:val="21"/>
                <w:lang w:val="en-US" w:eastAsia="zh-CN"/>
              </w:rPr>
              <w:t>85</w:t>
            </w:r>
            <w:r>
              <w:rPr>
                <w:rFonts w:hint="eastAsia" w:hAnsiTheme="minorEastAsia" w:eastAsiaTheme="minorEastAsia"/>
                <w:sz w:val="21"/>
                <w:szCs w:val="21"/>
              </w:rPr>
              <w:t>dB（A）之间。</w:t>
            </w:r>
            <w:r>
              <w:rPr>
                <w:rFonts w:ascii="Times New Roman" w:hAnsi="Times New Roman" w:eastAsia="宋体" w:cs="Times New Roman"/>
                <w:sz w:val="21"/>
                <w:szCs w:val="21"/>
              </w:rPr>
              <w:t>通过基础减振、厂房隔声等治理措施，并经距离衰减后，厂界处</w:t>
            </w:r>
            <w:r>
              <w:rPr>
                <w:rFonts w:hint="eastAsia" w:ascii="Times New Roman" w:hAnsi="Times New Roman" w:eastAsia="宋体" w:cs="Times New Roman"/>
                <w:sz w:val="21"/>
                <w:szCs w:val="21"/>
                <w:lang w:val="en-US" w:eastAsia="zh-CN"/>
              </w:rPr>
              <w:t>昼间</w:t>
            </w:r>
            <w:r>
              <w:rPr>
                <w:rFonts w:ascii="Times New Roman" w:hAnsi="Times New Roman" w:eastAsia="宋体" w:cs="Times New Roman"/>
                <w:sz w:val="21"/>
                <w:szCs w:val="21"/>
              </w:rPr>
              <w:t>噪声可以满足《工业企业厂界环境噪声排放标准》（GB12348-2008）中</w:t>
            </w:r>
            <w:r>
              <w:rPr>
                <w:rFonts w:hint="eastAsia" w:ascii="Times New Roman" w:hAnsi="Times New Roman" w:eastAsia="宋体" w:cs="Times New Roman"/>
                <w:sz w:val="21"/>
                <w:szCs w:val="21"/>
                <w:lang w:val="en-US" w:eastAsia="zh-CN"/>
              </w:rPr>
              <w:t>3</w:t>
            </w:r>
            <w:r>
              <w:rPr>
                <w:rFonts w:ascii="Times New Roman" w:hAnsi="Times New Roman" w:eastAsia="宋体" w:cs="Times New Roman"/>
                <w:sz w:val="21"/>
                <w:szCs w:val="21"/>
              </w:rPr>
              <w:t>类标准，</w:t>
            </w:r>
            <w:r>
              <w:rPr>
                <w:rFonts w:hint="eastAsia" w:ascii="Times New Roman" w:hAnsi="Times New Roman" w:eastAsia="宋体" w:cs="Times New Roman"/>
                <w:sz w:val="21"/>
                <w:szCs w:val="21"/>
              </w:rPr>
              <w:t>对周围环境影响较小。</w:t>
            </w:r>
          </w:p>
          <w:p w14:paraId="006FD4A3">
            <w:pPr>
              <w:adjustRightInd/>
              <w:snapToGrid/>
              <w:spacing w:after="0"/>
              <w:rPr>
                <w:rFonts w:hint="eastAsia" w:ascii="Times New Roman" w:hAnsi="Times New Roman" w:eastAsia="宋体" w:cs="Times New Roman"/>
                <w:b w:val="0"/>
                <w:bCs/>
                <w:color w:val="000000"/>
                <w:kern w:val="0"/>
                <w:sz w:val="21"/>
                <w:szCs w:val="21"/>
                <w:lang w:val="en-US" w:eastAsia="zh-CN" w:bidi="ar-SA"/>
              </w:rPr>
            </w:pPr>
            <w:bookmarkStart w:id="1" w:name="_GoBack"/>
            <w:r>
              <w:rPr>
                <w:rFonts w:hint="eastAsia" w:ascii="Times New Roman" w:hAnsi="Times New Roman" w:eastAsia="宋体" w:cs="Times New Roman"/>
                <w:b w:val="0"/>
                <w:bCs/>
                <w:color w:val="000000"/>
                <w:kern w:val="0"/>
                <w:sz w:val="21"/>
                <w:szCs w:val="21"/>
                <w:lang w:val="en-US" w:eastAsia="zh-CN" w:bidi="ar-SA"/>
              </w:rPr>
              <w:t>4、固体废物</w:t>
            </w:r>
          </w:p>
          <w:bookmarkEnd w:id="1"/>
          <w:p w14:paraId="12B216CF">
            <w:pPr>
              <w:adjustRightInd/>
              <w:snapToGrid/>
              <w:spacing w:after="0"/>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本项目营运期固体废物主要有职工生产生活产生的生活垃圾、化粪池污泥、制氮机产生的废分子筛、棒材锯切产生的少量铝边角料、铝屑和铝粉S1-2、检验过程产生的少量不合格品S1-3、炒灰后产生的少量废铝灰渣S1-4、铝熔化烟气除尘产生的除尘灰、机修产生的废机油。</w:t>
            </w:r>
          </w:p>
          <w:p w14:paraId="5947E472">
            <w:pPr>
              <w:adjustRightInd/>
              <w:snapToGrid/>
              <w:spacing w:after="0"/>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一般固废：①</w:t>
            </w:r>
            <w:r>
              <w:rPr>
                <w:rFonts w:hint="eastAsia" w:ascii="Times New Roman" w:hAnsi="Times New Roman" w:eastAsia="宋体" w:cs="Times New Roman"/>
                <w:sz w:val="21"/>
                <w:szCs w:val="21"/>
                <w:lang w:val="en-US" w:eastAsia="zh-CN"/>
              </w:rPr>
              <w:t>生活垃圾</w:t>
            </w:r>
            <w:r>
              <w:rPr>
                <w:rFonts w:hint="eastAsia" w:ascii="Times New Roman" w:hAnsi="Times New Roman" w:eastAsia="宋体" w:cs="Times New Roman"/>
                <w:sz w:val="21"/>
                <w:szCs w:val="21"/>
              </w:rPr>
              <w:t>由环卫部门定期处理；②</w:t>
            </w:r>
            <w:r>
              <w:rPr>
                <w:rFonts w:hint="eastAsia" w:ascii="Times New Roman" w:hAnsi="Times New Roman" w:eastAsia="宋体" w:cs="Times New Roman"/>
                <w:sz w:val="21"/>
                <w:szCs w:val="21"/>
                <w:lang w:val="en-US" w:eastAsia="zh-CN"/>
              </w:rPr>
              <w:t>不合格品和废边角料、铝屑、铝粉</w:t>
            </w:r>
            <w:r>
              <w:rPr>
                <w:rFonts w:hint="eastAsia" w:ascii="Times New Roman" w:hAnsi="Times New Roman" w:eastAsia="宋体" w:cs="Times New Roman"/>
                <w:sz w:val="21"/>
                <w:szCs w:val="21"/>
              </w:rPr>
              <w:t>集中收集后回炉熔化再利用；③</w:t>
            </w:r>
            <w:r>
              <w:rPr>
                <w:rFonts w:hint="eastAsia" w:ascii="Times New Roman" w:hAnsi="Times New Roman" w:eastAsia="宋体" w:cs="Times New Roman"/>
                <w:sz w:val="21"/>
                <w:szCs w:val="21"/>
                <w:lang w:val="en-US" w:eastAsia="zh-CN"/>
              </w:rPr>
              <w:t>废分子筛</w:t>
            </w:r>
            <w:r>
              <w:rPr>
                <w:rFonts w:hint="eastAsia" w:ascii="Times New Roman" w:hAnsi="Times New Roman" w:eastAsia="宋体" w:cs="Times New Roman"/>
                <w:sz w:val="21"/>
                <w:szCs w:val="21"/>
              </w:rPr>
              <w:t>由厂家直接回收，不在厂内贮存。</w:t>
            </w:r>
            <w:r>
              <w:rPr>
                <w:rFonts w:hint="eastAsia" w:ascii="Times New Roman" w:hAnsi="Times New Roman" w:eastAsia="宋体" w:cs="Times New Roman"/>
                <w:sz w:val="21"/>
                <w:szCs w:val="21"/>
                <w:lang w:val="en-US" w:eastAsia="zh-CN"/>
              </w:rPr>
              <w:fldChar w:fldCharType="begin"/>
            </w:r>
            <w:r>
              <w:rPr>
                <w:rFonts w:hint="eastAsia" w:ascii="Times New Roman" w:hAnsi="Times New Roman" w:eastAsia="宋体" w:cs="Times New Roman"/>
                <w:sz w:val="21"/>
                <w:szCs w:val="21"/>
                <w:lang w:val="en-US" w:eastAsia="zh-CN"/>
              </w:rPr>
              <w:instrText xml:space="preserve"> EQ \o\ac(</w:instrText>
            </w:r>
            <w:r>
              <w:rPr>
                <w:rFonts w:hint="eastAsia" w:ascii="Times New Roman" w:hAnsi="Times New Roman" w:eastAsia="宋体" w:cs="Times New Roman"/>
                <w:position w:val="-4"/>
                <w:sz w:val="31"/>
                <w:szCs w:val="21"/>
                <w:lang w:val="en-US" w:eastAsia="zh-CN" w:bidi="ar-SA"/>
              </w:rPr>
              <w:instrText xml:space="preserve">○</w:instrText>
            </w:r>
            <w:r>
              <w:rPr>
                <w:rFonts w:hint="eastAsia" w:ascii="Times New Roman" w:hAnsi="Times New Roman" w:eastAsia="宋体" w:cs="Times New Roman"/>
                <w:sz w:val="21"/>
                <w:szCs w:val="21"/>
                <w:lang w:val="en-US" w:eastAsia="zh-CN"/>
              </w:rPr>
              <w:instrText xml:space="preserve">,4)</w:instrText>
            </w:r>
            <w:r>
              <w:rPr>
                <w:rFonts w:hint="eastAsia" w:ascii="Times New Roman" w:hAnsi="Times New Roman" w:eastAsia="宋体" w:cs="Times New Roman"/>
                <w:sz w:val="21"/>
                <w:szCs w:val="21"/>
                <w:lang w:val="en-US" w:eastAsia="zh-CN"/>
              </w:rPr>
              <w:fldChar w:fldCharType="end"/>
            </w:r>
            <w:r>
              <w:rPr>
                <w:rFonts w:hint="eastAsia" w:ascii="Times New Roman" w:hAnsi="Times New Roman" w:eastAsia="宋体" w:cs="Times New Roman"/>
                <w:sz w:val="21"/>
                <w:szCs w:val="21"/>
                <w:lang w:val="en-US" w:eastAsia="zh-CN"/>
              </w:rPr>
              <w:t>化粪池污泥</w:t>
            </w:r>
            <w:r>
              <w:rPr>
                <w:rFonts w:hint="eastAsia" w:ascii="Times New Roman" w:hAnsi="Times New Roman" w:eastAsia="宋体" w:cs="Times New Roman"/>
                <w:sz w:val="21"/>
                <w:szCs w:val="21"/>
              </w:rPr>
              <w:t>定期由环卫部门清掏</w:t>
            </w:r>
            <w:r>
              <w:rPr>
                <w:rFonts w:hint="eastAsia" w:ascii="Times New Roman" w:hAnsi="Times New Roman" w:eastAsia="宋体" w:cs="Times New Roman"/>
                <w:sz w:val="21"/>
                <w:szCs w:val="21"/>
                <w:lang w:eastAsia="zh-CN"/>
              </w:rPr>
              <w:t>。</w:t>
            </w:r>
          </w:p>
          <w:p w14:paraId="7DE3C397">
            <w:pPr>
              <w:adjustRightInd/>
              <w:snapToGrid/>
              <w:spacing w:after="0"/>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危险废物</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废铝灰渣、除尘器粉尘使用</w:t>
            </w:r>
            <w:r>
              <w:rPr>
                <w:rFonts w:hint="eastAsia" w:ascii="Times New Roman" w:hAnsi="Times New Roman" w:eastAsia="宋体" w:cs="Times New Roman"/>
                <w:sz w:val="21"/>
                <w:szCs w:val="21"/>
              </w:rPr>
              <w:t>吨袋包装</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废机油使用桶装，暂存于危废暂存间，定期由危废资质单位处置</w:t>
            </w:r>
            <w:r>
              <w:rPr>
                <w:rFonts w:hint="eastAsia" w:ascii="Times New Roman" w:hAnsi="Times New Roman" w:eastAsia="宋体" w:cs="Times New Roman"/>
                <w:sz w:val="21"/>
                <w:szCs w:val="21"/>
                <w:lang w:eastAsia="zh-CN"/>
              </w:rPr>
              <w:t>。</w:t>
            </w:r>
          </w:p>
          <w:p w14:paraId="4D240363">
            <w:pPr>
              <w:adjustRightInd/>
              <w:snapToGrid/>
              <w:spacing w:after="0"/>
              <w:ind w:firstLine="420" w:firstLineChars="200"/>
              <w:rPr>
                <w:rFonts w:ascii="Times New Roman" w:hAnsi="Times New Roman" w:eastAsia="宋体" w:cs="Times New Roman"/>
                <w:sz w:val="24"/>
                <w:szCs w:val="24"/>
              </w:rPr>
            </w:pPr>
            <w:r>
              <w:rPr>
                <w:rFonts w:hint="eastAsia" w:ascii="Times New Roman" w:hAnsi="Times New Roman" w:eastAsia="宋体" w:cs="Times New Roman"/>
                <w:sz w:val="21"/>
                <w:szCs w:val="21"/>
              </w:rPr>
              <w:t>在采取上述污染防治措施后，本项目所产生的固体废物均可得到合理、有效的处理和处置，其产生的固体废弃物不会对周围环境造成二次污染。固体废物在得到妥善处置后预计对环境影响较小，可以接受。</w:t>
            </w:r>
          </w:p>
        </w:tc>
        <w:tc>
          <w:tcPr>
            <w:tcW w:w="390" w:type="pct"/>
            <w:tcBorders>
              <w:tl2br w:val="nil"/>
              <w:tr2bl w:val="nil"/>
            </w:tcBorders>
            <w:shd w:val="clear" w:color="auto" w:fill="auto"/>
            <w:vAlign w:val="center"/>
          </w:tcPr>
          <w:p w14:paraId="151D6302">
            <w:pPr>
              <w:adjustRightInd/>
              <w:snapToGrid/>
              <w:spacing w:after="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r>
      <w:tr w14:paraId="47A8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792" w:type="dxa"/>
            <w:tcBorders>
              <w:tl2br w:val="nil"/>
              <w:tr2bl w:val="nil"/>
            </w:tcBorders>
            <w:shd w:val="clear" w:color="auto" w:fill="auto"/>
            <w:vAlign w:val="center"/>
          </w:tcPr>
          <w:p w14:paraId="47937AEE">
            <w:pPr>
              <w:adjustRightInd/>
              <w:snapToGrid/>
              <w:spacing w:after="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c>
        <w:tc>
          <w:tcPr>
            <w:tcW w:w="992" w:type="dxa"/>
            <w:tcBorders>
              <w:tl2br w:val="nil"/>
              <w:tr2bl w:val="nil"/>
            </w:tcBorders>
            <w:shd w:val="clear" w:color="auto" w:fill="auto"/>
            <w:vAlign w:val="center"/>
          </w:tcPr>
          <w:p w14:paraId="7D699764">
            <w:pPr>
              <w:adjustRightInd/>
              <w:snapToGrid/>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唐河县兴唐十二年一贯制学校高中部教学用房、学生宿舍建设项目</w:t>
            </w:r>
          </w:p>
        </w:tc>
        <w:tc>
          <w:tcPr>
            <w:tcW w:w="826" w:type="dxa"/>
            <w:tcBorders>
              <w:tl2br w:val="nil"/>
              <w:tr2bl w:val="nil"/>
            </w:tcBorders>
            <w:shd w:val="clear" w:color="auto" w:fill="auto"/>
            <w:vAlign w:val="center"/>
          </w:tcPr>
          <w:p w14:paraId="761A4EE5">
            <w:pPr>
              <w:adjustRightInd/>
              <w:snapToGrid/>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唐河县兴唐街道办事处谢岗社区新华路南段东侧</w:t>
            </w:r>
          </w:p>
        </w:tc>
        <w:tc>
          <w:tcPr>
            <w:tcW w:w="841" w:type="dxa"/>
            <w:tcBorders>
              <w:tl2br w:val="nil"/>
              <w:tr2bl w:val="nil"/>
            </w:tcBorders>
            <w:shd w:val="clear" w:color="auto" w:fill="auto"/>
            <w:vAlign w:val="center"/>
          </w:tcPr>
          <w:p w14:paraId="59D3EB5F">
            <w:pPr>
              <w:adjustRightInd/>
              <w:snapToGrid/>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唐河县教育体育局</w:t>
            </w:r>
          </w:p>
        </w:tc>
        <w:tc>
          <w:tcPr>
            <w:tcW w:w="1397" w:type="dxa"/>
            <w:tcBorders>
              <w:tl2br w:val="nil"/>
              <w:tr2bl w:val="nil"/>
            </w:tcBorders>
            <w:shd w:val="clear" w:color="auto" w:fill="auto"/>
            <w:vAlign w:val="center"/>
          </w:tcPr>
          <w:p w14:paraId="7448BF46">
            <w:pPr>
              <w:adjustRightInd/>
              <w:snapToGrid/>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南阳洁萌环保工程有限公司</w:t>
            </w:r>
          </w:p>
        </w:tc>
        <w:tc>
          <w:tcPr>
            <w:tcW w:w="2862" w:type="dxa"/>
            <w:tcBorders>
              <w:tl2br w:val="nil"/>
              <w:tr2bl w:val="nil"/>
            </w:tcBorders>
            <w:shd w:val="clear" w:color="auto" w:fill="auto"/>
            <w:vAlign w:val="center"/>
          </w:tcPr>
          <w:p w14:paraId="247ADFAD">
            <w:pPr>
              <w:adjustRightInd/>
              <w:snapToGrid/>
              <w:spacing w:after="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本项目估算总投资为7192.40万元，在唐河县兴唐街道办事处谢岗社区新华路南段东侧（规划的新华路东侧、油城路南侧、盛产路西侧、谢岗路北侧）建设兴唐十二年一贯制学校高中部教学用房、学生宿舍建设项目， 项目占地面积41626.06m</w:t>
            </w:r>
            <w:r>
              <w:rPr>
                <w:rFonts w:hint="eastAsia" w:ascii="Times New Roman" w:hAnsi="Times New Roman" w:eastAsia="宋体" w:cs="Times New Roman"/>
                <w:sz w:val="21"/>
                <w:szCs w:val="21"/>
                <w:vertAlign w:val="superscript"/>
              </w:rPr>
              <w:t>2</w:t>
            </w:r>
            <w:r>
              <w:rPr>
                <w:rFonts w:hint="eastAsia" w:ascii="Times New Roman" w:hAnsi="Times New Roman" w:eastAsia="宋体" w:cs="Times New Roman"/>
                <w:sz w:val="21"/>
                <w:szCs w:val="21"/>
              </w:rPr>
              <w:t>（土地证面积 ），总建筑面积17068.69m</w:t>
            </w:r>
            <w:r>
              <w:rPr>
                <w:rFonts w:hint="eastAsia" w:ascii="Times New Roman" w:hAnsi="Times New Roman" w:eastAsia="宋体" w:cs="Times New Roman"/>
                <w:sz w:val="21"/>
                <w:szCs w:val="21"/>
                <w:vertAlign w:val="superscript"/>
              </w:rPr>
              <w:t>2</w:t>
            </w:r>
            <w:r>
              <w:rPr>
                <w:rFonts w:hint="eastAsia" w:ascii="Times New Roman" w:hAnsi="Times New Roman" w:eastAsia="宋体" w:cs="Times New Roman"/>
                <w:sz w:val="21"/>
                <w:szCs w:val="21"/>
              </w:rPr>
              <w:t>，包括3栋教学用房、2栋学生宿舍以及门房。其中1、2#教学用房建筑面积6061.74m</w:t>
            </w:r>
            <w:r>
              <w:rPr>
                <w:rFonts w:hint="eastAsia" w:ascii="Times New Roman" w:hAnsi="Times New Roman" w:eastAsia="宋体" w:cs="Times New Roman"/>
                <w:sz w:val="21"/>
                <w:szCs w:val="21"/>
                <w:vertAlign w:val="superscript"/>
              </w:rPr>
              <w:t>2</w:t>
            </w:r>
            <w:r>
              <w:rPr>
                <w:rFonts w:hint="eastAsia" w:ascii="Times New Roman" w:hAnsi="Times New Roman" w:eastAsia="宋体" w:cs="Times New Roman"/>
                <w:sz w:val="21"/>
                <w:szCs w:val="21"/>
              </w:rPr>
              <w:t>，层数5层，主要功能为教室、实验室及办公；3#教学用房建筑面积1478.59m</w:t>
            </w:r>
            <w:r>
              <w:rPr>
                <w:rFonts w:hint="eastAsia" w:ascii="Times New Roman" w:hAnsi="Times New Roman" w:eastAsia="宋体" w:cs="Times New Roman"/>
                <w:sz w:val="21"/>
                <w:szCs w:val="21"/>
                <w:vertAlign w:val="superscript"/>
              </w:rPr>
              <w:t>2</w:t>
            </w:r>
            <w:r>
              <w:rPr>
                <w:rFonts w:hint="eastAsia" w:ascii="Times New Roman" w:hAnsi="Times New Roman" w:eastAsia="宋体" w:cs="Times New Roman"/>
                <w:sz w:val="21"/>
                <w:szCs w:val="21"/>
              </w:rPr>
              <w:t>，层数2层，主要功能为设备用房及看台；1#学生宿舍建筑面积4613.81m</w:t>
            </w:r>
            <w:r>
              <w:rPr>
                <w:rFonts w:hint="eastAsia" w:ascii="Times New Roman" w:hAnsi="Times New Roman" w:eastAsia="宋体" w:cs="Times New Roman"/>
                <w:sz w:val="21"/>
                <w:szCs w:val="21"/>
                <w:vertAlign w:val="superscript"/>
              </w:rPr>
              <w:t>2</w:t>
            </w:r>
            <w:r>
              <w:rPr>
                <w:rFonts w:hint="eastAsia" w:ascii="Times New Roman" w:hAnsi="Times New Roman" w:eastAsia="宋体" w:cs="Times New Roman"/>
                <w:sz w:val="21"/>
                <w:szCs w:val="21"/>
              </w:rPr>
              <w:t>，层数4层；2#学生宿舍建筑面积4861.63m</w:t>
            </w:r>
            <w:r>
              <w:rPr>
                <w:rFonts w:hint="eastAsia" w:ascii="Times New Roman" w:hAnsi="Times New Roman" w:eastAsia="宋体" w:cs="Times New Roman"/>
                <w:sz w:val="21"/>
                <w:szCs w:val="21"/>
                <w:vertAlign w:val="superscript"/>
              </w:rPr>
              <w:t>2</w:t>
            </w:r>
            <w:r>
              <w:rPr>
                <w:rFonts w:hint="eastAsia" w:ascii="Times New Roman" w:hAnsi="Times New Roman" w:eastAsia="宋体" w:cs="Times New Roman"/>
                <w:sz w:val="21"/>
                <w:szCs w:val="21"/>
              </w:rPr>
              <w:t>，层数4层；门房52.92m</w:t>
            </w:r>
            <w:r>
              <w:rPr>
                <w:rFonts w:hint="eastAsia" w:ascii="Times New Roman" w:hAnsi="Times New Roman" w:eastAsia="宋体" w:cs="Times New Roman"/>
                <w:sz w:val="21"/>
                <w:szCs w:val="21"/>
                <w:vertAlign w:val="superscript"/>
              </w:rPr>
              <w:t>2</w:t>
            </w:r>
            <w:r>
              <w:rPr>
                <w:rFonts w:hint="eastAsia" w:ascii="Times New Roman" w:hAnsi="Times New Roman" w:eastAsia="宋体" w:cs="Times New Roman"/>
                <w:sz w:val="21"/>
                <w:szCs w:val="21"/>
              </w:rPr>
              <w:t>，层数1层。</w:t>
            </w:r>
          </w:p>
        </w:tc>
        <w:tc>
          <w:tcPr>
            <w:tcW w:w="6439" w:type="dxa"/>
            <w:tcBorders>
              <w:tl2br w:val="nil"/>
              <w:tr2bl w:val="nil"/>
            </w:tcBorders>
            <w:shd w:val="clear" w:color="auto" w:fill="auto"/>
            <w:vAlign w:val="center"/>
          </w:tcPr>
          <w:p w14:paraId="4AFC065F">
            <w:pPr>
              <w:adjustRightInd/>
              <w:snapToGrid/>
              <w:spacing w:after="0"/>
              <w:rPr>
                <w:rFonts w:hint="eastAsia" w:ascii="Times New Roman" w:hAnsi="Times New Roman" w:eastAsia="宋体" w:cs="Times New Roman"/>
                <w:b w:val="0"/>
                <w:bCs/>
                <w:color w:val="000000"/>
                <w:kern w:val="0"/>
                <w:sz w:val="21"/>
                <w:szCs w:val="21"/>
                <w:lang w:val="en-US" w:eastAsia="zh-CN" w:bidi="ar-SA"/>
              </w:rPr>
            </w:pPr>
            <w:r>
              <w:rPr>
                <w:rFonts w:hint="eastAsia" w:ascii="Times New Roman" w:hAnsi="Times New Roman" w:eastAsia="宋体" w:cs="Times New Roman"/>
                <w:b w:val="0"/>
                <w:bCs/>
                <w:color w:val="000000"/>
                <w:kern w:val="0"/>
                <w:sz w:val="21"/>
                <w:szCs w:val="21"/>
                <w:lang w:val="en-US" w:eastAsia="zh-CN" w:bidi="ar-SA"/>
              </w:rPr>
              <w:t>1、大气环境</w:t>
            </w:r>
          </w:p>
          <w:p w14:paraId="2FB0E78E">
            <w:pPr>
              <w:pStyle w:val="2"/>
              <w:adjustRightInd/>
              <w:spacing w:line="240" w:lineRule="auto"/>
              <w:ind w:firstLine="420" w:firstLineChars="200"/>
              <w:jc w:val="both"/>
              <w:rPr>
                <w:rFonts w:hint="eastAsia" w:ascii="Times New Roman" w:hAnsi="Times New Roman" w:cs="Times New Roman"/>
                <w:b w:val="0"/>
                <w:bCs/>
                <w:sz w:val="21"/>
                <w:szCs w:val="21"/>
              </w:rPr>
            </w:pPr>
            <w:r>
              <w:rPr>
                <w:rFonts w:hint="eastAsia" w:ascii="Times New Roman" w:hAnsi="Times New Roman" w:eastAsia="宋体" w:cs="Times New Roman"/>
                <w:b w:val="0"/>
                <w:bCs/>
                <w:sz w:val="21"/>
                <w:szCs w:val="21"/>
              </w:rPr>
              <w:t>实验室废气（主要为硫酸雾）经通风橱收集后经活性炭吸附装置处理后经高出屋顶的排气筒排放</w:t>
            </w:r>
            <w:r>
              <w:rPr>
                <w:rFonts w:hint="eastAsia" w:ascii="Times New Roman" w:hAnsi="Times New Roman" w:cs="Times New Roman"/>
                <w:b w:val="0"/>
                <w:bCs/>
                <w:sz w:val="21"/>
                <w:szCs w:val="21"/>
                <w:lang w:val="en-US" w:eastAsia="zh-CN"/>
              </w:rPr>
              <w:t>。废气</w:t>
            </w:r>
            <w:r>
              <w:rPr>
                <w:rFonts w:hint="eastAsia" w:ascii="Times New Roman" w:hAnsi="Times New Roman" w:cs="Times New Roman"/>
                <w:b w:val="0"/>
                <w:bCs/>
                <w:sz w:val="21"/>
                <w:szCs w:val="21"/>
              </w:rPr>
              <w:t>排放浓度能够满足《大气污染物综合排放标准》（GB1 6297-1996）表 2 中二级</w:t>
            </w:r>
            <w:r>
              <w:rPr>
                <w:rFonts w:hint="eastAsia" w:ascii="Times New Roman" w:hAnsi="Times New Roman" w:cs="Times New Roman"/>
                <w:b w:val="0"/>
                <w:bCs/>
                <w:sz w:val="21"/>
                <w:szCs w:val="21"/>
                <w:lang w:val="en-US" w:eastAsia="zh-CN"/>
              </w:rPr>
              <w:t>标准</w:t>
            </w:r>
            <w:r>
              <w:rPr>
                <w:rFonts w:hint="eastAsia" w:ascii="Times New Roman" w:hAnsi="Times New Roman" w:cs="Times New Roman"/>
                <w:b w:val="0"/>
                <w:bCs/>
                <w:sz w:val="21"/>
                <w:szCs w:val="21"/>
              </w:rPr>
              <w:t>。</w:t>
            </w:r>
          </w:p>
          <w:p w14:paraId="28CA45AA">
            <w:pPr>
              <w:adjustRightInd/>
              <w:snapToGrid/>
              <w:spacing w:after="0"/>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经采取以上措施后，项目营运期对周围大气环境影响不大。</w:t>
            </w:r>
          </w:p>
          <w:p w14:paraId="09185901">
            <w:pPr>
              <w:adjustRightInd/>
              <w:snapToGrid/>
              <w:spacing w:after="0"/>
              <w:rPr>
                <w:rFonts w:ascii="Times New Roman" w:hAnsi="Times New Roman" w:eastAsia="宋体" w:cs="Times New Roman"/>
                <w:sz w:val="21"/>
                <w:szCs w:val="21"/>
              </w:rPr>
            </w:pPr>
            <w:r>
              <w:rPr>
                <w:rFonts w:ascii="Times New Roman" w:hAnsi="Times New Roman" w:eastAsia="宋体" w:cs="Times New Roman"/>
                <w:sz w:val="21"/>
                <w:szCs w:val="21"/>
              </w:rPr>
              <w:t>2、水环境</w:t>
            </w:r>
          </w:p>
          <w:p w14:paraId="17E9AA93">
            <w:pPr>
              <w:adjustRightInd/>
              <w:snapToGrid/>
              <w:spacing w:after="0"/>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实验室废水经酸碱中和池处理、餐饮废水经隔油池处理、与生活污水一并进入化粪池处理排入唐河县第四污水处理厂处理</w:t>
            </w:r>
            <w:r>
              <w:rPr>
                <w:rFonts w:hint="eastAsia" w:ascii="Times New Roman" w:hAnsi="Times New Roman" w:eastAsia="宋体" w:cs="Times New Roman"/>
                <w:sz w:val="21"/>
                <w:szCs w:val="21"/>
              </w:rPr>
              <w:t>。</w:t>
            </w:r>
          </w:p>
          <w:p w14:paraId="740D9697">
            <w:pPr>
              <w:adjustRightInd/>
              <w:snapToGrid/>
              <w:spacing w:after="0"/>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经采取以上措施，项目营运期对周围水环境影响不大。</w:t>
            </w:r>
          </w:p>
          <w:p w14:paraId="233CA776">
            <w:pPr>
              <w:spacing w:after="0"/>
              <w:rPr>
                <w:rFonts w:ascii="Times New Roman" w:hAnsi="Times New Roman" w:eastAsia="宋体" w:cs="Times New Roman"/>
                <w:sz w:val="21"/>
                <w:szCs w:val="21"/>
              </w:rPr>
            </w:pPr>
            <w:r>
              <w:rPr>
                <w:rFonts w:ascii="Times New Roman" w:hAnsi="Times New Roman" w:eastAsia="宋体" w:cs="Times New Roman"/>
                <w:sz w:val="21"/>
                <w:szCs w:val="21"/>
              </w:rPr>
              <w:t>3、声环境</w:t>
            </w:r>
          </w:p>
          <w:p w14:paraId="13F3FB58">
            <w:pPr>
              <w:autoSpaceDE w:val="0"/>
              <w:autoSpaceDN w:val="0"/>
              <w:adjustRightInd/>
              <w:snapToGrid/>
              <w:spacing w:after="0"/>
              <w:ind w:firstLine="420" w:firstLineChars="200"/>
              <w:jc w:val="both"/>
              <w:rPr>
                <w:rFonts w:ascii="Times New Roman" w:hAnsi="Times New Roman" w:eastAsia="宋体" w:cs="Times New Roman"/>
                <w:sz w:val="21"/>
                <w:szCs w:val="21"/>
              </w:rPr>
            </w:pPr>
            <w:r>
              <w:rPr>
                <w:rFonts w:hint="eastAsia" w:hAnsiTheme="minorEastAsia" w:eastAsiaTheme="minorEastAsia"/>
                <w:sz w:val="21"/>
                <w:szCs w:val="21"/>
              </w:rPr>
              <w:t>本项目营运期噪声设备运行时产生的噪声和教学活动的社会生活噪声，噪声级在70~80dB（A）左右。</w:t>
            </w:r>
            <w:r>
              <w:rPr>
                <w:rFonts w:hint="eastAsia" w:ascii="Times New Roman" w:hAnsi="Times New Roman" w:eastAsia="宋体" w:cs="Times New Roman"/>
                <w:sz w:val="21"/>
                <w:szCs w:val="21"/>
              </w:rPr>
              <w:t>经隔声、降噪、墙体屏蔽、距离衰减后，项目边界噪声能达到《社会生活环境噪声排放标准》 (GB22337-2008)2类标准的要求，对周边环境质量影响较小。</w:t>
            </w:r>
          </w:p>
          <w:p w14:paraId="3586F38D">
            <w:pPr>
              <w:spacing w:after="0"/>
              <w:rPr>
                <w:rFonts w:ascii="Times New Roman" w:hAnsi="Times New Roman" w:eastAsia="宋体" w:cs="Times New Roman"/>
                <w:sz w:val="21"/>
                <w:szCs w:val="21"/>
              </w:rPr>
            </w:pPr>
            <w:r>
              <w:rPr>
                <w:rFonts w:ascii="Times New Roman" w:hAnsi="Times New Roman" w:eastAsia="宋体" w:cs="Times New Roman"/>
                <w:sz w:val="21"/>
                <w:szCs w:val="21"/>
              </w:rPr>
              <w:t>4、固体废物</w:t>
            </w:r>
          </w:p>
          <w:p w14:paraId="4749BFC1">
            <w:pPr>
              <w:adjustRightInd/>
              <w:snapToGrid/>
              <w:spacing w:after="0"/>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本项目营运期固体废物主要有办公废纸、餐厨垃圾、化粪池污泥、生活垃圾、实验室废弃物、废活性炭等。</w:t>
            </w:r>
          </w:p>
          <w:p w14:paraId="6ED2B6DF">
            <w:pPr>
              <w:adjustRightInd/>
              <w:snapToGrid/>
              <w:spacing w:after="0"/>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一般固废：①</w:t>
            </w:r>
            <w:r>
              <w:rPr>
                <w:rFonts w:hint="eastAsia" w:ascii="Times New Roman" w:hAnsi="Times New Roman" w:eastAsia="宋体" w:cs="Times New Roman"/>
                <w:sz w:val="21"/>
                <w:szCs w:val="21"/>
                <w:lang w:val="en-US" w:eastAsia="zh-CN"/>
              </w:rPr>
              <w:t>生活垃圾</w:t>
            </w:r>
            <w:r>
              <w:rPr>
                <w:rFonts w:hint="eastAsia" w:ascii="Times New Roman" w:hAnsi="Times New Roman" w:eastAsia="宋体" w:cs="Times New Roman"/>
                <w:sz w:val="21"/>
                <w:szCs w:val="21"/>
              </w:rPr>
              <w:t>由环卫部门定期处理；②</w:t>
            </w:r>
            <w:r>
              <w:rPr>
                <w:rFonts w:hint="eastAsia" w:ascii="Times New Roman" w:hAnsi="Times New Roman" w:eastAsia="宋体" w:cs="Times New Roman"/>
                <w:sz w:val="21"/>
                <w:szCs w:val="21"/>
                <w:lang w:val="en-US" w:eastAsia="zh-CN"/>
              </w:rPr>
              <w:t>办公废纸收集到一般固废暂存间，定期外售</w:t>
            </w:r>
            <w:r>
              <w:rPr>
                <w:rFonts w:hint="eastAsia" w:ascii="Times New Roman" w:hAnsi="Times New Roman" w:eastAsia="宋体" w:cs="Times New Roman"/>
                <w:sz w:val="21"/>
                <w:szCs w:val="21"/>
              </w:rPr>
              <w:t>；③</w:t>
            </w:r>
            <w:r>
              <w:rPr>
                <w:rFonts w:hint="eastAsia" w:ascii="Times New Roman" w:hAnsi="Times New Roman" w:eastAsia="宋体" w:cs="Times New Roman"/>
                <w:sz w:val="21"/>
                <w:szCs w:val="21"/>
                <w:lang w:val="en-US" w:eastAsia="zh-CN"/>
              </w:rPr>
              <w:t>餐厨垃圾分类收集，交由有餐厨废弃物处置服务许可证的单位进行收集转运处置</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fldChar w:fldCharType="begin"/>
            </w:r>
            <w:r>
              <w:rPr>
                <w:rFonts w:hint="eastAsia" w:ascii="Times New Roman" w:hAnsi="Times New Roman" w:eastAsia="宋体" w:cs="Times New Roman"/>
                <w:sz w:val="21"/>
                <w:szCs w:val="21"/>
                <w:lang w:val="en-US" w:eastAsia="zh-CN"/>
              </w:rPr>
              <w:instrText xml:space="preserve"> EQ \o\ac(</w:instrText>
            </w:r>
            <w:r>
              <w:rPr>
                <w:rFonts w:hint="eastAsia" w:ascii="Times New Roman" w:hAnsi="Times New Roman" w:eastAsia="宋体" w:cs="Times New Roman"/>
                <w:position w:val="-4"/>
                <w:sz w:val="31"/>
                <w:szCs w:val="21"/>
                <w:lang w:val="en-US" w:eastAsia="zh-CN" w:bidi="ar-SA"/>
              </w:rPr>
              <w:instrText xml:space="preserve">○</w:instrText>
            </w:r>
            <w:r>
              <w:rPr>
                <w:rFonts w:hint="eastAsia" w:ascii="Times New Roman" w:hAnsi="Times New Roman" w:eastAsia="宋体" w:cs="Times New Roman"/>
                <w:position w:val="0"/>
                <w:sz w:val="21"/>
                <w:szCs w:val="21"/>
                <w:lang w:val="en-US" w:eastAsia="zh-CN"/>
              </w:rPr>
              <w:instrText xml:space="preserve">,4)</w:instrText>
            </w:r>
            <w:r>
              <w:rPr>
                <w:rFonts w:hint="eastAsia" w:ascii="Times New Roman" w:hAnsi="Times New Roman" w:eastAsia="宋体" w:cs="Times New Roman"/>
                <w:sz w:val="21"/>
                <w:szCs w:val="21"/>
                <w:lang w:val="en-US" w:eastAsia="zh-CN"/>
              </w:rPr>
              <w:fldChar w:fldCharType="end"/>
            </w:r>
            <w:r>
              <w:rPr>
                <w:rFonts w:hint="eastAsia" w:ascii="Times New Roman" w:hAnsi="Times New Roman" w:eastAsia="宋体" w:cs="Times New Roman"/>
                <w:sz w:val="21"/>
                <w:szCs w:val="21"/>
                <w:lang w:val="en-US" w:eastAsia="zh-CN"/>
              </w:rPr>
              <w:t>化粪池污泥</w:t>
            </w:r>
            <w:r>
              <w:rPr>
                <w:rFonts w:hint="eastAsia" w:ascii="Times New Roman" w:hAnsi="Times New Roman" w:eastAsia="宋体" w:cs="Times New Roman"/>
                <w:sz w:val="21"/>
                <w:szCs w:val="21"/>
              </w:rPr>
              <w:t>定期由环卫部门清掏</w:t>
            </w:r>
            <w:r>
              <w:rPr>
                <w:rFonts w:hint="eastAsia" w:ascii="Times New Roman" w:hAnsi="Times New Roman" w:eastAsia="宋体" w:cs="Times New Roman"/>
                <w:sz w:val="21"/>
                <w:szCs w:val="21"/>
                <w:lang w:eastAsia="zh-CN"/>
              </w:rPr>
              <w:t>。</w:t>
            </w:r>
          </w:p>
          <w:p w14:paraId="1B44739E">
            <w:pPr>
              <w:adjustRightInd/>
              <w:snapToGrid/>
              <w:spacing w:after="0"/>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危险废物</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实验室危险废物和废活性炭使用桶装，分类暂存于危废暂存间，定期由危废资质单位处置</w:t>
            </w:r>
            <w:r>
              <w:rPr>
                <w:rFonts w:hint="eastAsia" w:ascii="Times New Roman" w:hAnsi="Times New Roman" w:eastAsia="宋体" w:cs="Times New Roman"/>
                <w:sz w:val="21"/>
                <w:szCs w:val="21"/>
                <w:lang w:eastAsia="zh-CN"/>
              </w:rPr>
              <w:t>。</w:t>
            </w:r>
          </w:p>
          <w:p w14:paraId="40D23FE8">
            <w:pPr>
              <w:adjustRightInd/>
              <w:snapToGrid/>
              <w:spacing w:after="0"/>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在采取上述污染防治措施后，本项目所产生的固体废物均可得到合理、有效的处理和处置，固体废物在得到妥善处置后预计对环境影响较小，可以接受。</w:t>
            </w:r>
          </w:p>
        </w:tc>
        <w:tc>
          <w:tcPr>
            <w:tcW w:w="1197" w:type="dxa"/>
            <w:tcBorders>
              <w:tl2br w:val="nil"/>
              <w:tr2bl w:val="nil"/>
            </w:tcBorders>
            <w:shd w:val="clear" w:color="auto" w:fill="auto"/>
            <w:vAlign w:val="center"/>
          </w:tcPr>
          <w:p w14:paraId="330CDAAD">
            <w:pPr>
              <w:adjustRightInd/>
              <w:snapToGrid/>
              <w:spacing w:after="0"/>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t>
            </w:r>
          </w:p>
        </w:tc>
      </w:tr>
    </w:tbl>
    <w:p w14:paraId="58B3E884">
      <w:pPr>
        <w:spacing w:line="220" w:lineRule="atLeast"/>
      </w:pPr>
    </w:p>
    <w:sectPr>
      <w:pgSz w:w="16838" w:h="11906" w:orient="landscape"/>
      <w:pgMar w:top="1797" w:right="851" w:bottom="1797" w:left="85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2"/>
  </w:compat>
  <w:rsids>
    <w:rsidRoot w:val="00D31D50"/>
    <w:rsid w:val="000B19AB"/>
    <w:rsid w:val="001E711F"/>
    <w:rsid w:val="002329D3"/>
    <w:rsid w:val="00253239"/>
    <w:rsid w:val="002F670B"/>
    <w:rsid w:val="00323B43"/>
    <w:rsid w:val="003A59E8"/>
    <w:rsid w:val="003D37D8"/>
    <w:rsid w:val="003D515D"/>
    <w:rsid w:val="00426133"/>
    <w:rsid w:val="004358AB"/>
    <w:rsid w:val="004542BC"/>
    <w:rsid w:val="004B16D8"/>
    <w:rsid w:val="004F7F69"/>
    <w:rsid w:val="005B1557"/>
    <w:rsid w:val="005E2815"/>
    <w:rsid w:val="006043CB"/>
    <w:rsid w:val="00685FE2"/>
    <w:rsid w:val="00783A45"/>
    <w:rsid w:val="008B7726"/>
    <w:rsid w:val="008D0802"/>
    <w:rsid w:val="00952072"/>
    <w:rsid w:val="009656C1"/>
    <w:rsid w:val="009C3039"/>
    <w:rsid w:val="009F79C0"/>
    <w:rsid w:val="00AE2D56"/>
    <w:rsid w:val="00B92E53"/>
    <w:rsid w:val="00BE2F7D"/>
    <w:rsid w:val="00C83BD8"/>
    <w:rsid w:val="00C9558C"/>
    <w:rsid w:val="00D020B6"/>
    <w:rsid w:val="00D31D50"/>
    <w:rsid w:val="00D67472"/>
    <w:rsid w:val="00E06992"/>
    <w:rsid w:val="00E249E0"/>
    <w:rsid w:val="00F6787F"/>
    <w:rsid w:val="00F961CA"/>
    <w:rsid w:val="00FC631A"/>
    <w:rsid w:val="04216C12"/>
    <w:rsid w:val="056E7771"/>
    <w:rsid w:val="08F02FFD"/>
    <w:rsid w:val="0A6832E7"/>
    <w:rsid w:val="0C835425"/>
    <w:rsid w:val="0CD229E9"/>
    <w:rsid w:val="0D1B7D9A"/>
    <w:rsid w:val="0DC108C7"/>
    <w:rsid w:val="0DC256F2"/>
    <w:rsid w:val="0E0E7C8D"/>
    <w:rsid w:val="121440DC"/>
    <w:rsid w:val="12945722"/>
    <w:rsid w:val="165F659F"/>
    <w:rsid w:val="174E5171"/>
    <w:rsid w:val="177F7B8E"/>
    <w:rsid w:val="1819142E"/>
    <w:rsid w:val="1A3F375B"/>
    <w:rsid w:val="1B202240"/>
    <w:rsid w:val="1B7B5A92"/>
    <w:rsid w:val="1BBD5C63"/>
    <w:rsid w:val="1D6224F5"/>
    <w:rsid w:val="1E9E13A1"/>
    <w:rsid w:val="21EB7C10"/>
    <w:rsid w:val="2302284A"/>
    <w:rsid w:val="23A05E9B"/>
    <w:rsid w:val="29F85070"/>
    <w:rsid w:val="2A7C79C0"/>
    <w:rsid w:val="2B225E65"/>
    <w:rsid w:val="2BCD77EC"/>
    <w:rsid w:val="2D13653D"/>
    <w:rsid w:val="2E353F2A"/>
    <w:rsid w:val="2F2F6FA5"/>
    <w:rsid w:val="32F52CC2"/>
    <w:rsid w:val="35BF673F"/>
    <w:rsid w:val="35EA0749"/>
    <w:rsid w:val="37307FBC"/>
    <w:rsid w:val="389945D7"/>
    <w:rsid w:val="399B5B26"/>
    <w:rsid w:val="3C8D17F0"/>
    <w:rsid w:val="3EB80859"/>
    <w:rsid w:val="3FBF1215"/>
    <w:rsid w:val="41E13054"/>
    <w:rsid w:val="426C7396"/>
    <w:rsid w:val="4AC65E65"/>
    <w:rsid w:val="4C3454FE"/>
    <w:rsid w:val="4EBF142F"/>
    <w:rsid w:val="4F4D041D"/>
    <w:rsid w:val="4F837BA7"/>
    <w:rsid w:val="4FE616B8"/>
    <w:rsid w:val="4FF76E32"/>
    <w:rsid w:val="50671F8A"/>
    <w:rsid w:val="53756BB6"/>
    <w:rsid w:val="55C356B4"/>
    <w:rsid w:val="565D1FD4"/>
    <w:rsid w:val="58D2260D"/>
    <w:rsid w:val="59D944D2"/>
    <w:rsid w:val="5A0548CA"/>
    <w:rsid w:val="5DC57630"/>
    <w:rsid w:val="5FC461FA"/>
    <w:rsid w:val="61CA3656"/>
    <w:rsid w:val="62080FDF"/>
    <w:rsid w:val="66EF68AF"/>
    <w:rsid w:val="66FC5E97"/>
    <w:rsid w:val="67B87D43"/>
    <w:rsid w:val="692220A1"/>
    <w:rsid w:val="69A62036"/>
    <w:rsid w:val="6A4C0B9A"/>
    <w:rsid w:val="6CD26C28"/>
    <w:rsid w:val="6D8A5F2F"/>
    <w:rsid w:val="6DA86F64"/>
    <w:rsid w:val="6E3C77B4"/>
    <w:rsid w:val="6ECF1001"/>
    <w:rsid w:val="703772B3"/>
    <w:rsid w:val="74B87FFE"/>
    <w:rsid w:val="75AE3E8F"/>
    <w:rsid w:val="777213D4"/>
    <w:rsid w:val="786D2C10"/>
    <w:rsid w:val="79D36DDB"/>
    <w:rsid w:val="7A932F58"/>
    <w:rsid w:val="7B2966FD"/>
    <w:rsid w:val="7EB406C7"/>
    <w:rsid w:val="7EB64AB5"/>
    <w:rsid w:val="7ECF27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qFormat/>
    <w:uiPriority w:val="99"/>
    <w:pPr>
      <w:widowControl w:val="0"/>
      <w:autoSpaceDE w:val="0"/>
      <w:autoSpaceDN w:val="0"/>
      <w:adjustRightInd w:val="0"/>
    </w:pPr>
    <w:rPr>
      <w:rFonts w:ascii="宋体" w:eastAsia="宋体" w:cs="宋体" w:hAnsiTheme="minorHAnsi"/>
      <w:color w:val="000000"/>
      <w:kern w:val="0"/>
      <w:sz w:val="24"/>
    </w:rPr>
  </w:style>
  <w:style w:type="paragraph" w:customStyle="1" w:styleId="3">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styleId="4">
    <w:name w:val="Body Text"/>
    <w:basedOn w:val="1"/>
    <w:qFormat/>
    <w:uiPriority w:val="0"/>
    <w:pPr>
      <w:spacing w:line="360" w:lineRule="auto"/>
    </w:pPr>
    <w:rPr>
      <w:b/>
      <w:sz w:val="24"/>
    </w:rPr>
  </w:style>
  <w:style w:type="paragraph" w:styleId="5">
    <w:name w:val="Body Text Indent"/>
    <w:basedOn w:val="1"/>
    <w:qFormat/>
    <w:uiPriority w:val="0"/>
    <w:pPr>
      <w:spacing w:line="480" w:lineRule="exact"/>
      <w:ind w:firstLine="538" w:firstLineChars="192"/>
    </w:pPr>
    <w:rPr>
      <w:rFonts w:ascii="宋体" w:hAnsi="宋体"/>
      <w:sz w:val="28"/>
    </w:rPr>
  </w:style>
  <w:style w:type="paragraph" w:styleId="6">
    <w:name w:val="Body Text Indent 2"/>
    <w:basedOn w:val="1"/>
    <w:qFormat/>
    <w:uiPriority w:val="0"/>
    <w:pPr>
      <w:ind w:firstLine="570"/>
    </w:pPr>
    <w:rPr>
      <w:sz w:val="28"/>
    </w:rPr>
  </w:style>
  <w:style w:type="paragraph" w:styleId="7">
    <w:name w:val="footer"/>
    <w:basedOn w:val="1"/>
    <w:link w:val="14"/>
    <w:semiHidden/>
    <w:unhideWhenUsed/>
    <w:qFormat/>
    <w:uiPriority w:val="99"/>
    <w:pPr>
      <w:tabs>
        <w:tab w:val="center" w:pos="4153"/>
        <w:tab w:val="right" w:pos="8306"/>
      </w:tabs>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Body Text First Indent"/>
    <w:basedOn w:val="4"/>
    <w:qFormat/>
    <w:uiPriority w:val="99"/>
    <w:pPr>
      <w:ind w:firstLine="420" w:firstLineChars="100"/>
    </w:p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3">
    <w:name w:val="页眉 Char"/>
    <w:basedOn w:val="12"/>
    <w:link w:val="8"/>
    <w:semiHidden/>
    <w:qFormat/>
    <w:uiPriority w:val="99"/>
    <w:rPr>
      <w:rFonts w:ascii="Tahoma" w:hAnsi="Tahoma" w:eastAsia="微软雅黑" w:cstheme="minorBidi"/>
      <w:sz w:val="18"/>
      <w:szCs w:val="18"/>
    </w:rPr>
  </w:style>
  <w:style w:type="character" w:customStyle="1" w:styleId="14">
    <w:name w:val="页脚 Char"/>
    <w:basedOn w:val="12"/>
    <w:link w:val="7"/>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1196</Words>
  <Characters>1278</Characters>
  <Lines>9</Lines>
  <Paragraphs>2</Paragraphs>
  <TotalTime>0</TotalTime>
  <ScaleCrop>false</ScaleCrop>
  <LinksUpToDate>false</LinksUpToDate>
  <CharactersWithSpaces>1280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淼淼宝贝</cp:lastModifiedBy>
  <dcterms:modified xsi:type="dcterms:W3CDTF">2025-05-28T09:29:53Z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554A64AEAC5141E49BC4E86348349A74</vt:lpwstr>
  </property>
  <property fmtid="{D5CDD505-2E9C-101B-9397-08002B2CF9AE}" pid="4" name="KSOTemplateDocerSaveRecord">
    <vt:lpwstr>eyJoZGlkIjoiZTg3NDI1MzFmMGQwMjgyZWQxZDJmOGIyMjhjNWNjNjUiLCJ1c2VySWQiOiIzMDUwNjcxMDEifQ==</vt:lpwstr>
  </property>
</Properties>
</file>