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723EC">
      <w:pPr>
        <w:widowControl/>
        <w:spacing w:before="100" w:beforeAutospacing="1" w:after="100" w:afterAutospacing="1" w:line="240" w:lineRule="atLeast"/>
        <w:jc w:val="center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拟审批的建设项目环境影响报告表</w:t>
      </w:r>
    </w:p>
    <w:tbl>
      <w:tblPr>
        <w:tblStyle w:val="2"/>
        <w:tblW w:w="50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149"/>
        <w:gridCol w:w="1201"/>
        <w:gridCol w:w="808"/>
        <w:gridCol w:w="1076"/>
        <w:gridCol w:w="2280"/>
        <w:gridCol w:w="7414"/>
      </w:tblGrid>
      <w:tr w14:paraId="5CC8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63257">
            <w:pPr>
              <w:spacing w:line="340" w:lineRule="exact"/>
              <w:jc w:val="center"/>
              <w:rPr>
                <w:szCs w:val="21"/>
              </w:rPr>
            </w:pPr>
            <w:bookmarkStart w:id="0" w:name="RANGE!A1:F2"/>
            <w:r>
              <w:rPr>
                <w:szCs w:val="21"/>
              </w:rPr>
              <w:t>序号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411BC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  <w:bookmarkEnd w:id="0"/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DB49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建设地点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9BCB9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建设单位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BF2B5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环境影响评价机构</w:t>
            </w: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D491E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建设项目概况</w:t>
            </w:r>
          </w:p>
        </w:tc>
        <w:tc>
          <w:tcPr>
            <w:tcW w:w="2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7096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主要环境影响及预防或减轻不良环境影响的对策和措施</w:t>
            </w:r>
          </w:p>
        </w:tc>
      </w:tr>
      <w:tr w14:paraId="5EB5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FA6DD">
            <w:pPr>
              <w:spacing w:line="3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B922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唐河县毕店镇基鼎灰沙砖厂年产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6000万块混凝土砌块建设项目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86EB7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河南省南阳市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唐河县毕店镇柿树园村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B883F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唐河县毕店镇基鼎灰沙砖厂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BE6FE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明阳科技（河南）有限公司</w:t>
            </w: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9E79A">
            <w:pPr>
              <w:spacing w:line="3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项目租赁面积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17808.9平方米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进行年产6000万块混凝土砌块项目建设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生产工艺流程:原料-配料-搅拌-制砖-成品，主要生产设备:铲车、叉车、搅拌机、制砖机等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项目建成后可实现年产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6000万块混凝土砌块。</w:t>
            </w:r>
          </w:p>
        </w:tc>
        <w:tc>
          <w:tcPr>
            <w:tcW w:w="2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4D98D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大气污染防治措施：</w:t>
            </w:r>
          </w:p>
          <w:p w14:paraId="27CB72AF">
            <w:pPr>
              <w:spacing w:line="3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废气主要为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原料上料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、下料及搅拌工序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粉尘、上述工序未经收集粉尘、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原料装卸车粉尘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车辆运输产生的扬尘及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水泥仓筒呼吸粉尘</w:t>
            </w:r>
            <w:r>
              <w:rPr>
                <w:szCs w:val="21"/>
              </w:rPr>
              <w:t>。</w:t>
            </w:r>
          </w:p>
          <w:p w14:paraId="0A2D408B">
            <w:pPr>
              <w:spacing w:line="3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原料上料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、下料及搅拌工序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粉尘于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料口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、下料口（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搅拌机顶部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）设集气罩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，以上集气罩收集的粉尘分别经集气管道收集至1套袋式除尘器内处理后由1根15m高排气筒（DA001）排放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highlight w:val="none"/>
                <w:u w:val="none"/>
                <w:lang w:eastAsia="zh-CN"/>
              </w:rPr>
              <w:t>。</w:t>
            </w:r>
          </w:p>
          <w:p w14:paraId="07890892">
            <w:pPr>
              <w:spacing w:line="300" w:lineRule="exact"/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上料、下料口及搅拌工序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未经集气罩收集的粉尘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原料装卸车粉尘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通过</w:t>
            </w:r>
            <w:r>
              <w:rPr>
                <w:rFonts w:hint="eastAsia"/>
                <w:sz w:val="21"/>
                <w:szCs w:val="21"/>
              </w:rPr>
              <w:t>车间</w:t>
            </w:r>
            <w:r>
              <w:rPr>
                <w:sz w:val="21"/>
                <w:szCs w:val="21"/>
              </w:rPr>
              <w:t>密闭，</w:t>
            </w:r>
            <w:r>
              <w:rPr>
                <w:rFonts w:hint="eastAsia"/>
                <w:sz w:val="21"/>
                <w:szCs w:val="21"/>
                <w:lang w:eastAsia="zh-CN"/>
              </w:rPr>
              <w:t>设置喷淋设备控制无组织粉尘排放。</w:t>
            </w:r>
          </w:p>
          <w:p w14:paraId="1EA7F719">
            <w:pPr>
              <w:spacing w:line="300" w:lineRule="exact"/>
              <w:ind w:firstLine="420" w:firstLineChars="2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车辆运输产生的扬尘通过</w:t>
            </w:r>
            <w:r>
              <w:rPr>
                <w:rFonts w:hint="eastAsia" w:ascii="宋体" w:cs="宋体"/>
                <w:kern w:val="0"/>
                <w:szCs w:val="21"/>
              </w:rPr>
              <w:t>控制车速、道路硬化、车辆冲洗、道路定期清扫洒水降尘</w:t>
            </w:r>
            <w:r>
              <w:rPr>
                <w:rFonts w:hint="eastAsia"/>
                <w:sz w:val="21"/>
                <w:szCs w:val="21"/>
                <w:lang w:eastAsia="zh-CN"/>
              </w:rPr>
              <w:t>控制无组织粉尘排放。</w:t>
            </w:r>
          </w:p>
          <w:p w14:paraId="387C0983">
            <w:pPr>
              <w:spacing w:line="3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水泥仓筒呼吸粉尘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通过于</w:t>
            </w:r>
            <w:r>
              <w:rPr>
                <w:rFonts w:hint="eastAsia" w:ascii="宋体" w:cs="宋体"/>
                <w:kern w:val="0"/>
                <w:szCs w:val="21"/>
                <w:u w:val="none"/>
              </w:rPr>
              <w:t>水泥仓设置仓顶除尘器</w:t>
            </w:r>
            <w:r>
              <w:rPr>
                <w:rFonts w:hint="eastAsia" w:ascii="宋体" w:cs="宋体"/>
                <w:kern w:val="0"/>
                <w:szCs w:val="21"/>
                <w:u w:val="none"/>
                <w:lang w:eastAsia="zh-CN"/>
              </w:rPr>
              <w:t>，水泥仓产生粉尘经仓顶除尘器处理后于仓顶无组织排放。</w:t>
            </w:r>
          </w:p>
          <w:p w14:paraId="0C4FD369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废水污染防治措施：</w:t>
            </w:r>
          </w:p>
          <w:p w14:paraId="44166261">
            <w:pPr>
              <w:spacing w:line="240" w:lineRule="auto"/>
              <w:ind w:firstLine="420" w:firstLineChars="200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szCs w:val="21"/>
              </w:rPr>
              <w:t>厂区实施雨污分流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 w14:paraId="0003F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初期雨水收集后经初期雨水池（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）沉淀处理后用于厂区洒水降尘；后期雨水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沿</w:t>
            </w:r>
            <w:r>
              <w:rPr>
                <w:spacing w:val="9"/>
                <w:sz w:val="20"/>
                <w:szCs w:val="20"/>
                <w:u w:val="none" w:color="auto"/>
              </w:rPr>
              <w:t>东侧</w:t>
            </w:r>
            <w:r>
              <w:rPr>
                <w:spacing w:val="8"/>
                <w:sz w:val="20"/>
                <w:szCs w:val="20"/>
                <w:u w:val="none" w:color="auto"/>
              </w:rPr>
              <w:t>自然沟依地势流入</w:t>
            </w:r>
            <w:r>
              <w:rPr>
                <w:rFonts w:hint="eastAsia"/>
                <w:spacing w:val="8"/>
                <w:sz w:val="20"/>
                <w:szCs w:val="20"/>
                <w:u w:val="none" w:color="auto"/>
                <w:lang w:eastAsia="zh-CN"/>
              </w:rPr>
              <w:t>东</w:t>
            </w:r>
            <w:r>
              <w:rPr>
                <w:spacing w:val="8"/>
                <w:sz w:val="20"/>
                <w:szCs w:val="20"/>
                <w:u w:val="none" w:color="auto"/>
              </w:rPr>
              <w:t>南侧</w:t>
            </w:r>
            <w:r>
              <w:rPr>
                <w:spacing w:val="-37"/>
                <w:sz w:val="20"/>
                <w:szCs w:val="20"/>
                <w:u w:val="none" w:color="auto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  <w:u w:val="none" w:color="auto"/>
                <w:lang w:val="en-US" w:eastAsia="zh-CN"/>
              </w:rPr>
              <w:t>5.8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 w:color="auto"/>
              </w:rPr>
              <w:t>km</w:t>
            </w:r>
            <w:r>
              <w:rPr>
                <w:spacing w:val="8"/>
                <w:sz w:val="20"/>
                <w:szCs w:val="20"/>
                <w:u w:val="none" w:color="auto"/>
              </w:rPr>
              <w:t>的江河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5FB88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职工生活产生的污水经厂区化粪池（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hint="eastAsia"/>
                <w:sz w:val="21"/>
                <w:szCs w:val="21"/>
              </w:rPr>
              <w:t>）处理后</w:t>
            </w:r>
            <w:r>
              <w:rPr>
                <w:rFonts w:hint="eastAsia"/>
                <w:sz w:val="21"/>
                <w:szCs w:val="21"/>
                <w:lang w:eastAsia="zh-CN"/>
              </w:rPr>
              <w:t>用于附近农田施肥；模具及搅拌机清洗</w:t>
            </w:r>
            <w:r>
              <w:rPr>
                <w:rFonts w:hint="eastAsia"/>
                <w:sz w:val="21"/>
                <w:szCs w:val="21"/>
              </w:rPr>
              <w:t>废水经</w:t>
            </w:r>
            <w:r>
              <w:rPr>
                <w:rFonts w:hint="eastAsia"/>
                <w:sz w:val="21"/>
                <w:szCs w:val="21"/>
                <w:lang w:eastAsia="zh-CN"/>
              </w:rPr>
              <w:t>砂石分离机处理后进入厂区三级</w:t>
            </w:r>
            <w:r>
              <w:rPr>
                <w:rFonts w:hint="eastAsia"/>
                <w:sz w:val="21"/>
                <w:szCs w:val="21"/>
              </w:rPr>
              <w:t>沉淀池（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hint="eastAsia"/>
                <w:sz w:val="21"/>
                <w:szCs w:val="21"/>
              </w:rPr>
              <w:t>）沉淀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/>
                <w:sz w:val="21"/>
                <w:szCs w:val="21"/>
              </w:rPr>
              <w:t>沉淀后</w:t>
            </w:r>
            <w:r>
              <w:rPr>
                <w:rFonts w:hint="eastAsia"/>
                <w:sz w:val="21"/>
                <w:szCs w:val="21"/>
              </w:rPr>
              <w:t>回</w:t>
            </w:r>
            <w:r>
              <w:rPr>
                <w:rFonts w:hint="default"/>
                <w:sz w:val="21"/>
                <w:szCs w:val="21"/>
              </w:rPr>
              <w:t>用</w:t>
            </w:r>
            <w:r>
              <w:rPr>
                <w:rFonts w:hint="eastAsia"/>
                <w:sz w:val="21"/>
                <w:szCs w:val="21"/>
              </w:rPr>
              <w:t>于生产，不外排</w:t>
            </w:r>
            <w:r>
              <w:rPr>
                <w:rFonts w:hint="eastAsia"/>
                <w:sz w:val="21"/>
                <w:szCs w:val="21"/>
                <w:lang w:eastAsia="zh-CN"/>
              </w:rPr>
              <w:t>；洗车废水经洗车沉淀池（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）沉淀后回用于洗车；养护</w:t>
            </w:r>
            <w:r>
              <w:rPr>
                <w:rFonts w:hint="eastAsia"/>
                <w:sz w:val="21"/>
                <w:szCs w:val="21"/>
              </w:rPr>
              <w:t>废水</w:t>
            </w:r>
            <w:r>
              <w:rPr>
                <w:rFonts w:hint="eastAsia"/>
                <w:sz w:val="21"/>
                <w:szCs w:val="21"/>
                <w:lang w:eastAsia="zh-CN"/>
              </w:rPr>
              <w:t>由养护区设置的沟渠进入三级沉淀池沉淀后回用于搅拌，不外排。</w:t>
            </w:r>
          </w:p>
          <w:p w14:paraId="18ECE276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噪声污染防治措施：</w:t>
            </w:r>
          </w:p>
          <w:p w14:paraId="45AB004D">
            <w:pPr>
              <w:spacing w:line="3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项目噪声主要</w:t>
            </w:r>
            <w:r>
              <w:rPr>
                <w:sz w:val="21"/>
                <w:szCs w:val="21"/>
              </w:rPr>
              <w:t>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搅拌机、制砖机、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风机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等</w:t>
            </w:r>
            <w:r>
              <w:rPr>
                <w:rFonts w:hint="default" w:ascii="Times New Roman" w:hAnsi="Times New Roman" w:cs="Times New Roman"/>
              </w:rPr>
              <w:t>各种设备</w:t>
            </w:r>
            <w:r>
              <w:rPr>
                <w:szCs w:val="21"/>
              </w:rPr>
              <w:t>产生的噪声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通过选用</w:t>
            </w:r>
            <w:r>
              <w:rPr>
                <w:rFonts w:hint="eastAsia"/>
                <w:szCs w:val="21"/>
              </w:rPr>
              <w:t>基础</w:t>
            </w:r>
            <w:r>
              <w:rPr>
                <w:szCs w:val="21"/>
              </w:rPr>
              <w:t>减振、隔声等措施使厂界噪声满足《工业企业厂界环境噪声排放标准》（GB12348-2008）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类（昼间6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dB（A）、夜间5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dB（A））要求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对周围环境影响较小。</w:t>
            </w:r>
          </w:p>
          <w:p w14:paraId="1D01D57A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>固体废物</w:t>
            </w:r>
            <w:r>
              <w:rPr>
                <w:color w:val="000000"/>
                <w:szCs w:val="21"/>
              </w:rPr>
              <w:t>废物污染防治措施：</w:t>
            </w:r>
          </w:p>
          <w:p w14:paraId="32CF4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项目营运期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生活垃圾经厂区垃圾桶收集后交由当地环卫部门处理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袋式除尘器收集的粉尘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定期清理后，在搅拌机中回收利用；不合格的砌块经收集后回用于生产，资源化利用；砂石分离机分离的废弃砂石回收至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搅拌机使用；沉淀池污泥定期清掏，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暂存后可用于搅拌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机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使用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本项目设置垃圾桶若干用于收集生活垃圾，设置一般固废暂存间1座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10m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，用于存储沉渣和其他一般固体废物的暂存。</w:t>
            </w:r>
          </w:p>
        </w:tc>
      </w:tr>
    </w:tbl>
    <w:p w14:paraId="17895F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9B"/>
    <w:rsid w:val="000B4003"/>
    <w:rsid w:val="00136A97"/>
    <w:rsid w:val="00A1689B"/>
    <w:rsid w:val="00A94CDC"/>
    <w:rsid w:val="00BB7CAA"/>
    <w:rsid w:val="1ECF73BE"/>
    <w:rsid w:val="20AF5581"/>
    <w:rsid w:val="368D3A73"/>
    <w:rsid w:val="498D0D7D"/>
    <w:rsid w:val="605546EF"/>
    <w:rsid w:val="6EA600B9"/>
    <w:rsid w:val="7214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834</Words>
  <Characters>873</Characters>
  <Lines>5</Lines>
  <Paragraphs>1</Paragraphs>
  <TotalTime>0</TotalTime>
  <ScaleCrop>false</ScaleCrop>
  <LinksUpToDate>false</LinksUpToDate>
  <CharactersWithSpaces>873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2024-09-03T06:51:00Z</dcterms:created>
  <dc:creator>xb21cn</dc:creator>
  <cp:lastModifiedBy>ℳ๓ Passerby </cp:lastModifiedBy>
  <dcterms:modified xsi:type="dcterms:W3CDTF">2025-06-30T01:46:11Z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eyJoZGlkIjoiZmM3MGEzZTY3ODQwODI0ZmQxNmQyOWU3ZDljMmIzMTkiLCJ1c2VySWQiOiI2NDk5NzM5MjgifQ==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22762FB9C5EA4E25981B61A80A750640_13</vt:lpwstr>
  </property>
</Properties>
</file>